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bottomFromText="28" w:vertAnchor="text" w:tblpYSpec="top"/>
        <w:tblW w:w="964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5"/>
      </w:tblGrid>
      <w:tr w:rsidR="00A77F1A">
        <w:trPr>
          <w:trHeight w:val="9717"/>
        </w:trPr>
        <w:tc>
          <w:tcPr>
            <w:tcW w:w="964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:rsidR="00A77F1A" w:rsidRDefault="00CF58E3">
            <w:pPr>
              <w:pStyle w:val="af3"/>
            </w:pPr>
            <w:bookmarkStart w:id="0" w:name="_top"/>
            <w:bookmarkEnd w:id="0"/>
            <w:r>
              <w:t>투고용</w:t>
            </w:r>
            <w:r>
              <w:t xml:space="preserve"> </w:t>
            </w:r>
            <w:r>
              <w:t>논문</w:t>
            </w:r>
            <w:r>
              <w:t xml:space="preserve"> 2021</w:t>
            </w:r>
          </w:p>
          <w:p w:rsidR="00A77F1A" w:rsidRDefault="00CF58E3">
            <w:pPr>
              <w:pStyle w:val="a9"/>
            </w:pPr>
            <w:r>
              <w:t xml:space="preserve">Jetson Orin Nano 기반 YOLOv8 무게 인식과 ACT 모방학습을 이용한 스마트 팩토리 순차 적재와 시연 설계 분석</w:t>
            </w:r>
          </w:p>
          <w:p w:rsidR="00A77F1A" w:rsidRDefault="00CF58E3">
            <w:pPr>
              <w:pStyle w:val="aa"/>
            </w:pPr>
            <w:r>
              <w:rPr>
                <w:sz w:val="34"/>
              </w:rPr>
              <w:t xml:space="preserve">Smart Factory Sequential Stacking with YOLOv8 Weight Recognition and ACT Imitation Learning: Demonstration Design Analysis</w:t>
            </w:r>
          </w:p>
          <w:p w:rsidR="00A77F1A" w:rsidRDefault="00CF58E3">
            <w:pPr>
              <w:pStyle w:val="ad"/>
            </w:pPr>
            <w:proofErr w:type="gramStart"/>
            <w:r>
              <w:t>요</w:t>
            </w:r>
            <w:r>
              <w:t xml:space="preserve">  </w:t>
            </w:r>
            <w:r>
              <w:t>약</w:t>
            </w:r>
            <w:proofErr w:type="gramEnd"/>
          </w:p>
          <w:p w:rsidR="00A77F1A" w:rsidRDefault="00CF58E3">
            <w:pPr>
              <w:pStyle w:val="ae"/>
            </w:pPr>
            <w:r>
              <w:t xml:space="preserve">디지털 저울의 7-segment 표시값을 YOLOv8로 판독해 기준 무게 이상인 적재함을 선별하고, 단계별 ACT 정책으로 SO-101 로봇팔이 적재함을 1층, 옆, 2층 순서로 쌓는 스마트 팩토리 순차 적재 시스템을 Jetson Orin Nano 기반으로 구현하였다. 무게 인식은 실제 장치에서 측정하였고(118 g 기준 분류 정확도 91.7%), 적재는 로봇팔 파손으로 동일한 조건의 MuJoCo 시뮬레이션에서 평가하였다. 정책 구조와 학습 설정을 고정한 상태에서 실패 분석으로 얻은 세 가지 시연 설계 규칙(여유 두고 잡기, 늘 같은 곳 잡기, 놓고 물러나기)을 적용하여 시연 100회의 세 단계 연속 성공률을 28%에서 99.0%(198/200)로 높였고, 저울 무게로 실패를 확인해 재실행하면 200/200이었다. 또한 잡는 순간 손목 각도의 최대 간격으로 상충하는 시연을 학습 전에 구분하는 지표를 제안하고 세 물체에서 확인하였다. 실제 로봇에서의 검증은 향후 과제이다.</w:t>
            </w:r>
          </w:p>
          <w:p w:rsidR="00A77F1A" w:rsidRDefault="00CF58E3">
            <w:pPr>
              <w:pStyle w:val="Abstract"/>
            </w:pPr>
            <w:r>
              <w:t>Abstract</w:t>
            </w:r>
          </w:p>
          <w:p w:rsidR="00A77F1A" w:rsidRDefault="00CF58E3">
            <w:pPr>
              <w:pStyle w:val="ae"/>
            </w:pPr>
            <w:r>
              <w:t xml:space="preserve">Low-cost robot arms trained from demonstrations are attractive for small smart-factory cells, but in sequential stacking each stage starts from the state left by the previous one, so inconsistent demonstrations compound across stages. We built a system in which a YOLOv8n model on a Jetson Orin Nano reads the 7-segment display of a scale (91.7% accuracy at the 118 g threshold) and triggers stage-wise ACT policies for an SO-101 arm, and we evaluated stacking in a MuJoCo replica of the system. With the policy architecture and training configuration fixed, three demonstration design rules (grasp clearance, a consistent grasp region, and retreating before lifting) raised three-stage success from 28% to 99.0% (198/200), and a weight-based retry gave 200/200. A pre-training diagnostic, the maximum internal gap of the wrist angle at grasp time, distinguished inconsistent demonstration sets for three objects. Validation on a physical robot remains future work.</w:t>
            </w:r>
          </w:p>
          <w:p w:rsidR="00A77F1A" w:rsidRDefault="00CF58E3">
            <w:pPr>
              <w:pStyle w:val="a3"/>
            </w:pPr>
            <w:r>
              <w:rPr>
                <w:rStyle w:val="Keywords"/>
                <w:spacing w:val="0"/>
              </w:rPr>
              <w:t xml:space="preserve">Keywords : Imitation learning, ACT, Sequential stacking, Demonstration design, Smart factory</w:t>
            </w:r>
          </w:p>
        </w:tc>
      </w:tr>
      <w:tr w:rsidR="00A77F1A">
        <w:tc>
          <w:tcPr>
            <w:tcW w:w="964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:rsidR="00A77F1A" w:rsidRDefault="00A77F1A">
            <w:pPr>
              <w:pStyle w:val="af3"/>
            </w:pPr>
          </w:p>
        </w:tc>
      </w:tr>
    </w:tbl>
    <w:p>
      <w:pPr>
        <w:pStyle w:val="a5"/>
        <w:keepNext/>
        <w:spacing w:before="120" w:after="0"/>
      </w:pPr>
      <w:r>
        <w:rPr/>
        <w:t xml:space="preserve">Ⅰ. 서  론</w:t>
      </w:r>
    </w:p>
    <w:p>
      <w:pPr>
        <w:pStyle w:val="a4"/>
      </w:pPr>
      <w:r>
        <w:rPr/>
        <w:t xml:space="preserve">제조·물류 현장의 자동화 수요는 커지고 있지만, 중소 규모 공정에 고가의 산업용 로봇과 정밀 보정 설비를 도입하기는 어렵다. 저가 로봇팔과 모방학습을 결합하면 적은 시연으로 시각 기반 조작을 구현할 수 있다. 그러나 여러 단계를 이어 수행하는 순차 적재에서는 앞 단계가 배치한 적재함이 다음 단계의 작업 환경이 되므로, 작은 제어 오차와 서로 상충하는 시연 동작의 영향이 단계마다 누적된다.</w:t>
      </w:r>
    </w:p>
    <w:p>
      <w:pPr>
        <w:pStyle w:val="a4"/>
      </w:pPr>
      <w:r>
        <w:rPr/>
        <w:t xml:space="preserve">본 논문은 Jetson Orin Nano 기반 무게 인식부와 단계별 ACT 정책을 결합한 SO-101 순차 적재 시스템을 구현하고, 적재 실패를 분석해 얻은 세 가지 시연 설계 규칙과 학습 전에 불일치 시연을 점검하는 지표를 제안한다. 무게 인식은 실제 장치에서 측정하였고, 로봇팔 파손으로 적재는 동일한 로봇 모델·카메라 배치·제어 주기의 MuJoCo 시뮬레이션에서 평가하였다.</w:t>
      </w:r>
    </w:p>
    <w:p>
      <w:pPr>
        <w:pStyle w:val="a5"/>
        <w:keepNext/>
        <w:spacing w:before="120" w:after="0"/>
      </w:pPr>
      <w:r>
        <w:rPr/>
        <w:t xml:space="preserve">Ⅱ. 관련 연구</w:t>
      </w:r>
    </w:p>
    <w:p>
      <w:pPr>
        <w:pStyle w:val="a4"/>
      </w:pPr>
      <w:r>
        <w:rPr/>
        <w:t xml:space="preserve">ACT(Action Chunking with Transformers)는 미래 행동을 청크 단위로 예측하여 저가 하드웨어에서도 정밀 조작을 학습할 수 있음을 보였고</w:t>
      </w:r>
      <w:r>
        <w:rPr>
          <w:vertAlign w:val="superscript"/>
        </w:rPr>
        <w:t xml:space="preserve">[1]</w:t>
      </w:r>
      <w:r>
        <w:rPr/>
        <w:t xml:space="preserve">, LeRobot은 ACT와 SO 계열 로봇 지원을 공개하였다</w:t>
      </w:r>
      <w:r>
        <w:rPr>
          <w:vertAlign w:val="superscript"/>
        </w:rPr>
        <w:t xml:space="preserve">[2]</w:t>
      </w:r>
      <w:r>
        <w:rPr/>
        <w:t xml:space="preserve">. 행동복제는 학습 때 보지 못한 상태에서 오차가 누적되며</w:t>
      </w:r>
      <w:r>
        <w:rPr>
          <w:vertAlign w:val="superscript"/>
        </w:rPr>
        <w:t xml:space="preserve">[3]</w:t>
      </w:r>
      <w:r>
        <w:rPr/>
        <w:t xml:space="preserve">, 시연의 행동 불일치는 정책 성능에 직접 영향을 준다</w:t>
      </w:r>
      <w:r>
        <w:rPr>
          <w:vertAlign w:val="superscript"/>
        </w:rPr>
        <w:t xml:space="preserve">[4,5]</w:t>
      </w:r>
      <w:r>
        <w:rPr/>
        <w:t xml:space="preserve">. 본 연구는 새로운 정책 구조 대신, 상충하는 시연 동작을 학습 전에 진단하고 일관된 규칙으로 교정하는 절차에 초점을 둔다.</w:t>
      </w:r>
    </w:p>
    <w:p>
      <w:pPr>
        <w:pStyle w:val="a5"/>
        <w:keepNext/>
        <w:spacing w:before="120" w:after="0"/>
      </w:pPr>
      <w:r>
        <w:rPr/>
        <w:t xml:space="preserve">Ⅲ. 제안 방법</w:t>
      </w:r>
    </w:p>
    <w:p>
      <w:pPr>
        <w:pStyle w:val="a6"/>
        <w:keepNext/>
      </w:pPr>
      <w:r>
        <w:rPr/>
        <w:t xml:space="preserve">1. 전체 시스템 및 무게 인식</w:t>
      </w:r>
    </w:p>
    <w:p>
      <w:pPr>
        <w:pStyle w:val="a4"/>
      </w:pPr>
      <w:r>
        <w:rPr/>
        <w:t xml:space="preserve">그림 1은 전체 시스템이다. 색상 분류 컨베이어가 파랑 큐브만 저울 위의 파란 적재함으로 보내면, Jetson Orin Nano가 USB 카메라 영상에서 저울 표시부를 검출하고 확대하여 숫자를 다시 탐지한다(YOLOv8n</w:t>
      </w:r>
      <w:r>
        <w:rPr>
          <w:vertAlign w:val="superscript"/>
        </w:rPr>
        <w:t xml:space="preserve">[6]</w:t>
      </w:r>
      <w:r>
        <w:rPr/>
        <w:t xml:space="preserve">, 숫자 탐지 mAP50 86.3%). 측정값이 118 g 이상이면 로봇 실행기에 TCP 트리거를 전송한다. 실제 장치에서 조건별 20회씩 총 60회 실측한 118 g 기준 분류 정확도는 91.7%(55/60)였고, 인식부터 명령 전송까지 약 810 ms가 걸렸다.</w:t>
      </w:r>
    </w:p>
    <w:p xmlns:a="http://schemas.openxmlformats.org/drawingml/2006/main" xmlns:pic="http://schemas.openxmlformats.org/drawingml/2006/picture">
      <w:pPr>
        <w:pStyle w:val="a3"/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>
            <wp:extent cx="1651577" cy="1313051"/>
            <wp:docPr id="201" name="Figure 1"/>
            <a:graphic>
              <a:graphicData uri="http://schemas.openxmlformats.org/drawingml/2006/picture">
                <pic:pic>
                  <pic:nvPicPr>
                    <pic:cNvPr id="201" name="rfig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1651577" cy="131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8"/>
        <w:keepNext/>
      </w:pPr>
      <w:r>
        <w:rPr/>
        <w:t xml:space="preserve">그림</w:t>
      </w:r>
      <w:r>
        <w:tab/>
      </w:r>
      <w:r>
        <w:rPr/>
        <w:t xml:space="preserve">1.</w:t>
      </w:r>
      <w:r>
        <w:tab/>
      </w:r>
      <w:r>
        <w:rPr/>
        <w:t xml:space="preserve">시스템 구성</w:t>
      </w:r>
    </w:p>
    <w:p>
      <w:pPr>
        <w:pStyle w:val="a8"/>
        <w:spacing w:before="0" w:after="100"/>
      </w:pPr>
      <w:r>
        <w:rPr/>
        <w:t xml:space="preserve">Fig.</w:t>
      </w:r>
      <w:r>
        <w:tab/>
      </w:r>
      <w:r>
        <w:rPr/>
        <w:t xml:space="preserve">1.</w:t>
      </w:r>
      <w:r>
        <w:tab/>
      </w:r>
      <w:r>
        <w:rPr/>
        <w:t xml:space="preserve">System overview</w:t>
      </w:r>
    </w:p>
    <w:p>
      <w:pPr>
        <w:pStyle w:val="a6"/>
        <w:keepNext/>
      </w:pPr>
      <w:r>
        <w:rPr/>
        <w:t xml:space="preserve">2. 단계별 ACT와 시뮬레이션 환경</w:t>
      </w:r>
    </w:p>
    <w:p>
      <w:pPr>
        <w:pStyle w:val="a4"/>
      </w:pPr>
      <w:r>
        <w:rPr/>
        <w:t xml:space="preserve">로봇부는 6관절 SO-101과 손목·상단 카메라로 구성된다. ACT는 두 영상과 관절값으로부터 100스텝의 관절 목표값을 한 번에 예측하며, 1층·옆·2층 단계마다 정책을 각각 학습하였다. 작업 환경은 MuJoCo</w:t>
      </w:r>
      <w:r>
        <w:rPr>
          <w:vertAlign w:val="superscript"/>
        </w:rPr>
        <w:t xml:space="preserve">[7]</w:t>
      </w:r>
      <w:r>
        <w:rPr/>
        <w:t xml:space="preserve">로 재현하였고(그림 2), 적재함(64×64×52 mm, 123 g)은 저울 위에서 ±20 mm, ±20°로 무작위화하였다. 시연은 스크립트 전문가로 생성하였고, 각 정책은 LeRobot 0.3.3 기본 설정으로 30,000스텝 학습하였다.</w:t>
      </w:r>
    </w:p>
    <w:p xmlns:a="http://schemas.openxmlformats.org/drawingml/2006/main" xmlns:pic="http://schemas.openxmlformats.org/drawingml/2006/picture">
      <w:pPr>
        <w:pStyle w:val="a3"/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>
            <wp:extent cx="2028253" cy="1005745"/>
            <wp:docPr id="202" name="Figure 2"/>
            <a:graphic>
              <a:graphicData uri="http://schemas.openxmlformats.org/drawingml/2006/picture">
                <pic:pic>
                  <pic:nvPicPr>
                    <pic:cNvPr id="202" name="rfig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2028253" cy="100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8"/>
        <w:keepNext/>
      </w:pPr>
      <w:r>
        <w:rPr/>
        <w:t xml:space="preserve">그림</w:t>
      </w:r>
      <w:r>
        <w:tab/>
      </w:r>
      <w:r>
        <w:rPr/>
        <w:t xml:space="preserve">2.</w:t>
      </w:r>
      <w:r>
        <w:tab/>
      </w:r>
      <w:r>
        <w:rPr/>
        <w:t xml:space="preserve">시뮬레이션 환경과 정책의 입력 영상</w:t>
      </w:r>
    </w:p>
    <w:p>
      <w:pPr>
        <w:pStyle w:val="a8"/>
        <w:spacing w:before="0" w:after="100"/>
      </w:pPr>
      <w:r>
        <w:rPr/>
        <w:t xml:space="preserve">Fig.</w:t>
      </w:r>
      <w:r>
        <w:tab/>
      </w:r>
      <w:r>
        <w:rPr/>
        <w:t xml:space="preserve">2.</w:t>
      </w:r>
      <w:r>
        <w:tab/>
      </w:r>
      <w:r>
        <w:rPr/>
        <w:t xml:space="preserve">Simulated system and policy inputs</w:t>
      </w:r>
    </w:p>
    <w:p>
      <w:pPr>
        <w:pStyle w:val="a6"/>
        <w:keepNext/>
      </w:pPr>
      <w:r>
        <w:rPr/>
        <w:t xml:space="preserve">3. 실패 분석 기반 시연 설계</w:t>
      </w:r>
    </w:p>
    <w:p>
      <w:pPr>
        <w:pStyle w:val="a4"/>
      </w:pPr>
      <w:r>
        <w:rPr/>
        <w:t xml:space="preserve">초기 시연으로 학습한 정책의 실패를 재생해 원인을 분류하고, 다음 세 규칙으로 시연을 수정하였다. (1) 여유 두고 잡기: 고정 집게를 벽 바깥 9 mm 지점에 두고 내려가, 집게가 벽을 사이에 둘 수 있는 범위(0~17 mm)의 중앙으로 접근한다. (2) 늘 같은 곳 잡기: 물체 방향과 무관하게 같은 부위를 잡는다. 가장 가까운 벽을 잡는 초기 규칙은 적재함이 약 8° 이상 회전하면 잡는 벽이 바뀌어, 유사한 영상에 서로 다른 행동이 대응하는 시연 불일치를 만들었다. (3) 놓고 물러나기: 2층에 놓은 뒤 그리퍼를 벌리고 벽 바깥쪽으로 5 mm 후퇴한 다음 상승한다. 이하 세 규칙을 모두 적용한 집합을 ‘규칙 시연’, 매 순간 가까운 곳을 잡는 집합을 ‘사람식 시연’이라 한다.</w:t>
      </w:r>
    </w:p>
    <w:p>
      <w:pPr>
        <w:pStyle w:val="a6"/>
        <w:keepNext/>
      </w:pPr>
      <w:r>
        <w:rPr/>
        <w:t xml:space="preserve">4. 학습 전 시연 일관성 점검</w:t>
      </w:r>
    </w:p>
    <w:p>
      <w:pPr>
        <w:pStyle w:val="a4"/>
      </w:pPr>
      <w:r>
        <w:rPr/>
        <w:t xml:space="preserve">‘늘 같은 곳 잡기’의 위반은 그리퍼가 닫히는 순간의 손목 회전각 분포로 점검한다. N개 시연의 각도를 θ</w:t>
      </w:r>
      <w:r>
        <w:rPr>
          <w:vertAlign w:val="subscript"/>
        </w:rPr>
        <w:t xml:space="preserve">(1)</w:t>
      </w:r>
      <w:r>
        <w:rPr/>
        <w:t xml:space="preserve"> ≤ ⋯ ≤ θ</w:t>
      </w:r>
      <w:r>
        <w:rPr>
          <w:vertAlign w:val="subscript"/>
        </w:rPr>
        <w:t xml:space="preserve">(N)</w:t>
      </w:r>
      <w:r>
        <w:rPr/>
        <w:t xml:space="preserve">으로 정렬하고 최대 인접 간격 G를 식 (1)로 계산한다.</w:t>
      </w:r>
    </w:p>
    <w:p>
      <w:pPr>
        <w:pStyle w:val="af6"/>
        <w:tabs>
          <w:tab w:val="clear" w:pos="408"/>
          <w:tab w:val="clear" w:pos="686"/>
          <w:tab w:val="clear" w:pos="756"/>
          <w:tab w:val="center" w:pos="2281"/>
          <w:tab w:val="right" w:pos="4563"/>
        </w:tabs>
      </w:pPr>
      <w:r>
        <w:tab/>
      </w:r>
      <w:r>
        <w:rPr/>
        <w:t xml:space="preserve">G = max</w:t>
      </w:r>
      <w:r>
        <w:rPr>
          <w:vertAlign w:val="subscript"/>
        </w:rPr>
        <w:t xml:space="preserve">1≤i&lt;N</w:t>
      </w:r>
      <w:r>
        <w:rPr/>
        <w:t xml:space="preserve"> [θ</w:t>
      </w:r>
      <w:r>
        <w:rPr>
          <w:vertAlign w:val="subscript"/>
        </w:rPr>
        <w:t xml:space="preserve">(i+1)</w:t>
      </w:r>
      <w:r>
        <w:rPr/>
        <w:t xml:space="preserve"> − θ</w:t>
      </w:r>
      <w:r>
        <w:rPr>
          <w:vertAlign w:val="subscript"/>
        </w:rPr>
        <w:t xml:space="preserve">(i)</w:t>
      </w:r>
      <w:r>
        <w:rPr/>
        <w:t xml:space="preserve">]</w:t>
      </w:r>
      <w:r>
        <w:tab/>
      </w:r>
      <w:r>
        <w:rPr/>
        <w:t xml:space="preserve">(1)</w:t>
      </w:r>
    </w:p>
    <w:p>
      <w:pPr>
        <w:pStyle w:val="a4"/>
      </w:pPr>
      <w:r>
        <w:rPr/>
        <w:t xml:space="preserve">잡기 전략이 하나면 각도가 연속적으로 분포하지만, 두 전략이 섞이면 군집 사이에 큰 간격이 나타난다(그림 3). G는 절대 임계값이 아니라 같은 물체·조건에서 시연 집합의 일관성을 비교하는 진단 지표로 사용한다.</w:t>
      </w:r>
    </w:p>
    <w:p xmlns:a="http://schemas.openxmlformats.org/drawingml/2006/main" xmlns:pic="http://schemas.openxmlformats.org/drawingml/2006/picture">
      <w:pPr>
        <w:pStyle w:val="a3"/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>
            <wp:extent cx="1912353" cy="1741097"/>
            <wp:docPr id="203" name="Figure 3"/>
            <a:graphic>
              <a:graphicData uri="http://schemas.openxmlformats.org/drawingml/2006/picture">
                <pic:pic>
                  <pic:nvPicPr>
                    <pic:cNvPr id="203" name="rfig3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1912353" cy="174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8"/>
        <w:keepNext/>
      </w:pPr>
      <w:r>
        <w:rPr/>
        <w:t xml:space="preserve">그림</w:t>
      </w:r>
      <w:r>
        <w:tab/>
      </w:r>
      <w:r>
        <w:rPr/>
        <w:t xml:space="preserve">3.</w:t>
      </w:r>
      <w:r>
        <w:tab/>
      </w:r>
      <w:r>
        <w:rPr/>
        <w:t xml:space="preserve">잡는 순간의 손목 회전각 (1층 시연 100회)</w:t>
      </w:r>
    </w:p>
    <w:p>
      <w:pPr>
        <w:pStyle w:val="a8"/>
        <w:spacing w:before="0" w:after="100"/>
      </w:pPr>
      <w:r>
        <w:rPr/>
        <w:t xml:space="preserve">Fig.</w:t>
      </w:r>
      <w:r>
        <w:tab/>
      </w:r>
      <w:r>
        <w:rPr/>
        <w:t xml:space="preserve">3.</w:t>
      </w:r>
      <w:r>
        <w:tab/>
      </w:r>
      <w:r>
        <w:rPr/>
        <w:t xml:space="preserve">Wrist roll angle at grasp time</w:t>
      </w:r>
    </w:p>
    <w:p>
      <w:pPr>
        <w:pStyle w:val="a6"/>
        <w:keepNext/>
      </w:pPr>
      <w:r>
        <w:rPr/>
        <w:t xml:space="preserve">5. 무게 확인 기반 재시도</w:t>
      </w:r>
    </w:p>
    <w:p>
      <w:pPr>
        <w:pStyle w:val="a4"/>
      </w:pPr>
      <w:r>
        <w:rPr/>
        <w:t xml:space="preserve">각 단계를 실행한 뒤 저울 무게를 다시 측정하여, 적재함이 남아 있음을 뜻하는 60 g 이상이면 같은 단계를 최대 3회까지 다시 실행한다. 선별용 저울을 적재 성공의 판정에도 활용하는 것이다.</w:t>
      </w:r>
    </w:p>
    <w:p>
      <w:pPr>
        <w:pStyle w:val="a5"/>
        <w:keepNext/>
        <w:spacing w:before="120" w:after="0"/>
      </w:pPr>
      <w:r>
        <w:rPr/>
        <w:t xml:space="preserve">Ⅳ. 실  험</w:t>
      </w:r>
    </w:p>
    <w:p>
      <w:pPr>
        <w:pStyle w:val="a6"/>
        <w:keepNext/>
      </w:pPr>
      <w:r>
        <w:rPr/>
        <w:t xml:space="preserve">1. 평가 방법</w:t>
      </w:r>
    </w:p>
    <w:p>
      <w:pPr>
        <w:pStyle w:val="a4"/>
      </w:pPr>
      <w:r>
        <w:rPr/>
        <w:t xml:space="preserve">모든 적재 실험은 시뮬레이션에서 수행하였으며, 실제 로봇 검증은 향후 과제이다. 연속 평가는 시연에 쓰지 않은 난수 시드의 장면에서 세 단계 정책을 이어 실행하며, 적재함 중심 오차 15 mm, 높이 오차 8 mm, 기울기 10° 이하이고 기존 적재함이 10 mm 이상 밀리지 않으면 성공으로 판정한다. 조건 간 비교는 조건별 50개 장면으로 수행하였고(표 1, 2), 최종 규칙 시연 정책만 이 50개를 포함한 200개 장면으로 확대해 다시 평가하였다.</w:t>
      </w:r>
    </w:p>
    <w:p>
      <w:pPr>
        <w:pStyle w:val="a6"/>
        <w:keepNext/>
      </w:pPr>
      <w:r>
        <w:rPr/>
        <w:t xml:space="preserve">2. 시연 설계 규칙의 효과</w:t>
      </w:r>
    </w:p>
    <w:p>
      <w:pPr>
        <w:pStyle w:val="a8"/>
        <w:keepNext/>
        <w:spacing w:before="100" w:after="0"/>
      </w:pPr>
      <w:r>
        <w:rPr/>
        <w:t xml:space="preserve">표</w:t>
      </w:r>
      <w:r>
        <w:tab/>
      </w:r>
      <w:r>
        <w:rPr/>
        <w:t xml:space="preserve">1.  시연 설계별 적재 성공률 (%, 조건별 50회)</w:t>
      </w:r>
    </w:p>
    <w:p>
      <w:pPr>
        <w:pStyle w:val="a8"/>
        <w:keepNext/>
        <w:spacing w:before="0" w:after="40"/>
      </w:pPr>
      <w:r>
        <w:rPr/>
        <w:t xml:space="preserve">Table 1.  Stacking success by demonstration design (%)</w:t>
      </w:r>
    </w:p>
    <w:tbl>
      <w:tblPr>
        <w:tblW w:w="45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30" w:type="dxa"/>
          <w:right w:w="30" w:type="dxa"/>
        </w:tblCellMar>
      </w:tblPr>
      <w:tblGrid>
        <w:gridCol w:w="1700"/>
        <w:gridCol w:w="560"/>
        <w:gridCol w:w="560"/>
        <w:gridCol w:w="560"/>
        <w:gridCol w:w="1150"/>
      </w:tblGrid>
      <w:tr>
        <w:trPr>
          <w:cantSplit/>
        </w:trPr>
        <w:tc>
          <w:tcPr>
            <w:tcW w:w="1700" w:type="dxa"/>
            <w:shd w:val="clear" w:color="auto" w:fill="E7E6E6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 xml:space="preserve">Demonstration design (demos)</w:t>
            </w:r>
          </w:p>
        </w:tc>
        <w:tc>
          <w:tcPr>
            <w:tcW w:w="560" w:type="dxa"/>
            <w:shd w:val="clear" w:color="auto" w:fill="E7E6E6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 xml:space="preserve">Floor</w:t>
            </w:r>
          </w:p>
        </w:tc>
        <w:tc>
          <w:tcPr>
            <w:tcW w:w="560" w:type="dxa"/>
            <w:shd w:val="clear" w:color="auto" w:fill="E7E6E6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 xml:space="preserve">Beside</w:t>
            </w:r>
          </w:p>
        </w:tc>
        <w:tc>
          <w:tcPr>
            <w:tcW w:w="560" w:type="dxa"/>
            <w:shd w:val="clear" w:color="auto" w:fill="E7E6E6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 xml:space="preserve">On top</w:t>
            </w:r>
          </w:p>
        </w:tc>
        <w:tc>
          <w:tcPr>
            <w:tcW w:w="1150" w:type="dxa"/>
            <w:shd w:val="clear" w:color="auto" w:fill="E7E6E6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 xml:space="preserve">Sequence (95% CI)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Initial (100)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76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84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50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28 (17–42)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+ grasp clearance (100)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90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88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72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62 (48–74)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+ grasp clearance (200)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82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80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66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36 (24–50)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+ consistent grasp region (100)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86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82 (69–90)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+ retreat before lifting (100)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96 (87–99)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a3"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All three rules (1000)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98</w:t>
            </w:r>
          </w:p>
        </w:tc>
        <w:tc>
          <w:tcPr>
            <w:tcW w:w="560" w:type="dxa"/>
            <w:vAlign w:val="center"/>
          </w:tcPr>
          <w:p>
            <w:pPr>
              <w:pStyle w:val="a3"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94 (84–98)</w:t>
            </w:r>
          </w:p>
        </w:tc>
      </w:tr>
    </w:tbl>
    <w:p>
      <w:pPr>
        <w:pStyle w:val="a3"/>
        <w:spacing w:before="0" w:after="0" w:line="160" w:lineRule="auto"/>
      </w:pPr>
    </w:p>
    <w:p>
      <w:pPr>
        <w:pStyle w:val="a4"/>
      </w:pPr>
      <w:r>
        <w:rPr/>
        <w:t xml:space="preserve">초기 설계는 단계별 성공률이 76%, 84%, 50%였지만 세 단계 연속 성공률은 28%에 그쳤다. 규칙을 하나씩 추가하면 연속 성공률은 62%, 82%, 96%로 증가하였다(표 1). 여유 두고 잡기만 적용한 조건의 단계별 실패 25건 중 24건은 잡는 벽이 바뀌는 회전 구간에서 발생했고, 늘 같은 곳 잡기를 추가하자 이 실패 유형이 사라졌다. 반면 잡는 위치가 갈리는 시연을 200회로 늘리면 36%로 낮아졌고, 규칙 시연을 1,000회로 늘려도 94%로 100회 조건을 넘지 못했다. 규칙 시연 100회 정책의 200개 장면 평가는 198/200(99.0%, 95% CI 96.4~99.7%)이었고, 무게 확인 재시도를 적용하면 200/200이 되었다.</w:t>
      </w:r>
    </w:p>
    <w:p>
      <w:pPr>
        <w:pStyle w:val="a6"/>
        <w:keepNext/>
      </w:pPr>
      <w:r>
        <w:rPr/>
        <w:t xml:space="preserve">3. 다른 물체와 환경으로의 확장</w:t>
      </w:r>
    </w:p>
    <w:p>
      <w:pPr>
        <w:pStyle w:val="a8"/>
        <w:keepNext/>
        <w:spacing w:before="100" w:after="0"/>
      </w:pPr>
      <w:r>
        <w:rPr/>
        <w:t xml:space="preserve">표</w:t>
      </w:r>
      <w:r>
        <w:tab/>
      </w:r>
      <w:r>
        <w:rPr/>
        <w:t xml:space="preserve">2.  물체별 각도 간격 G와 연속 성공률 (각 50회)</w:t>
      </w:r>
    </w:p>
    <w:p>
      <w:pPr>
        <w:pStyle w:val="a8"/>
        <w:keepNext/>
        <w:spacing w:before="0" w:after="40"/>
      </w:pPr>
      <w:r>
        <w:rPr/>
        <w:t xml:space="preserve">Table 2.  Angle gap G and sequence success per object</w:t>
      </w:r>
    </w:p>
    <w:tbl>
      <w:tblPr>
        <w:tblW w:w="4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30" w:type="dxa"/>
          <w:right w:w="30" w:type="dxa"/>
        </w:tblCellMar>
      </w:tblPr>
      <w:tblGrid>
        <w:gridCol w:w="1900"/>
        <w:gridCol w:w="1300"/>
        <w:gridCol w:w="1300"/>
      </w:tblGrid>
      <w:tr>
        <w:trPr>
          <w:cantSplit/>
        </w:trPr>
        <w:tc>
          <w:tcPr>
            <w:tcW w:w="1900" w:type="dxa"/>
            <w:shd w:val="clear" w:color="auto" w:fill="E7E6E6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 xml:space="preserve">Object (ambiguity)</w:t>
            </w:r>
          </w:p>
        </w:tc>
        <w:tc>
          <w:tcPr>
            <w:tcW w:w="1300" w:type="dxa"/>
            <w:shd w:val="clear" w:color="auto" w:fill="E7E6E6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 xml:space="preserve">G (°): human-like → rule</w:t>
            </w:r>
          </w:p>
        </w:tc>
        <w:tc>
          <w:tcPr>
            <w:tcW w:w="1300" w:type="dxa"/>
            <w:shd w:val="clear" w:color="auto" w:fill="E7E6E6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b/>
                <w:sz w:val="14"/>
                <w:szCs w:val="14"/>
              </w:rPr>
              <w:t xml:space="preserve">Sequence (%): human-like → rule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Square bin (four equal walls)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53 → 4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62 → 96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Cup (left / right of the handle)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66 → 7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keepNext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20 → 46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a3"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Box (long / short wall)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53 → 4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spacing w:before="0" w:after="0" w:line="220" w:lineRule="auto"/>
              <w:jc w:val="center"/>
            </w:pPr>
            <w:r>
              <w:rPr>
                <w:sz w:val="14"/>
                <w:szCs w:val="14"/>
              </w:rPr>
              <w:t xml:space="preserve">56 → 100</w:t>
            </w:r>
          </w:p>
        </w:tc>
      </w:tr>
    </w:tbl>
    <w:p>
      <w:pPr>
        <w:pStyle w:val="a3"/>
        <w:spacing w:before="0" w:after="0" w:line="160" w:lineRule="auto"/>
      </w:pPr>
    </w:p>
    <w:p>
      <w:pPr>
        <w:pStyle w:val="a4"/>
      </w:pPr>
      <w:r>
        <w:rPr/>
        <w:t xml:space="preserve">잡기 부위가 다른 이유로 모호한 손잡이 컵(육각형)과 직사각형 상자를 추가하였다. 표 2에서 사람식 시연은 세 물체 모두 큰 각도 간격을 보였고, 규칙 시연에서는 간격이 4~7°로 줄며 연속 성공률이 증가하였다. 컵은 규칙 시연을 300회로 늘리고 관절값 입력에 잡음을 추가하면 88%가 되었다. 다만 세 물체만으로 지표의 임계값을 정할 수는 없으므로, 본 결과는 G를 학습 전 상대 비교 지표로 쓸 수 있음을 보이는 초기 검증이다. 한편 주변 물체를 놓은 장면의 시연으로 학습한 정책도 컨베이어·선반 등을 무작위로 배치한 공장형 장면에서는 44%에 그쳤으나, 공장형 장면의 시연을 단계당 800회 추가하면 90%로 회복되었다.</w:t>
      </w:r>
    </w:p>
    <w:p>
      <w:pPr>
        <w:pStyle w:val="a5"/>
        <w:keepNext/>
        <w:spacing w:before="120" w:after="0"/>
      </w:pPr>
      <w:r>
        <w:rPr/>
        <w:t xml:space="preserve">Ⅴ. 결  론</w:t>
      </w:r>
    </w:p>
    <w:p>
      <w:pPr>
        <w:pStyle w:val="a4"/>
      </w:pPr>
      <w:r>
        <w:rPr/>
        <w:t xml:space="preserve">본 논문은 YOLOv8 기반 무게 인식과 단계별 ACT 정책을 결합한 스마트 팩토리 순차 적재 시스템을 구현하고, 고정된 정책 구조와 학습 설정에서 시연의 일관성과 기하학적 여유가 연속 적재 성능을 크게 좌우함을 보였다. 세 가지 시연 규칙으로 시연 100회의 연속 성공률을 28%에서 99.0%로 높였고, 무게 확인 재시도로 200/200을 얻었으며, 최대 각도 간격은 상충하는 잡기 전략을 학습 전에 드러냈다. 다만 모든 조작 결과는 시뮬레이션에 한정되므로, 향후 실제 로봇과 사람 원격조작 시연에서 검증할 예정이다.</w:t>
      </w:r>
    </w:p>
    <w:p>
      <w:pPr>
        <w:pStyle w:val="a5"/>
        <w:keepNext/>
        <w:spacing w:before="120" w:after="0"/>
      </w:pPr>
      <w:r>
        <w:rPr/>
        <w:t xml:space="preserve">REFERENCES</w:t>
      </w:r>
    </w:p>
    <w:p>
      <w:pPr>
        <w:pStyle w:val="af5"/>
      </w:pPr>
      <w:r>
        <w:rPr/>
        <w:t xml:space="preserve">[1] T. Z. Zhao, V. Kumar, S. Levine, and C. Finn, “Learning fine-grained bimanual manipulation with low-cost hardware,” in </w:t>
      </w:r>
      <w:r>
        <w:rPr>
          <w:i/>
        </w:rPr>
        <w:t xml:space="preserve">Proc. Robotics: Science and Systems</w:t>
      </w:r>
      <w:r>
        <w:rPr/>
        <w:t xml:space="preserve">, Daegu, Korea, July 2023.</w:t>
      </w:r>
    </w:p>
    <w:p>
      <w:pPr>
        <w:pStyle w:val="af5"/>
      </w:pPr>
      <w:r>
        <w:rPr/>
        <w:t xml:space="preserve">[2] R. Cadene et al., </w:t>
      </w:r>
      <w:r>
        <w:rPr>
          <w:i/>
        </w:rPr>
        <w:t xml:space="preserve">LeRobot: State-of-the-art Machine Learning for Real-World Robotics in PyTorch</w:t>
      </w:r>
      <w:r>
        <w:rPr/>
        <w:t xml:space="preserve">, https://github.com/huggingface/lerobot, 2024.</w:t>
      </w:r>
    </w:p>
    <w:p>
      <w:pPr>
        <w:pStyle w:val="af5"/>
      </w:pPr>
      <w:r>
        <w:rPr/>
        <w:t xml:space="preserve">[3] S. Ross, G. Gordon, and D. Bagnell, “A reduction of imitation learning and structured prediction to no-regret online learning,” in </w:t>
      </w:r>
      <w:r>
        <w:rPr>
          <w:i/>
        </w:rPr>
        <w:t xml:space="preserve">Proc. Int. Conf. Artificial Intelligence and Statistics</w:t>
      </w:r>
      <w:r>
        <w:rPr/>
        <w:t xml:space="preserve">, pp. 627-635, Fort Lauderdale, USA, Apr. 2011.</w:t>
      </w:r>
    </w:p>
    <w:p>
      <w:pPr>
        <w:pStyle w:val="af5"/>
      </w:pPr>
      <w:r>
        <w:rPr/>
        <w:t xml:space="preserve">[4] S. Belkhale, Y. Cui, and D. Sadigh, “Data quality in imitation learning,” in </w:t>
      </w:r>
      <w:r>
        <w:rPr>
          <w:i/>
        </w:rPr>
        <w:t xml:space="preserve">Proc. Advances in Neural Information Processing Systems</w:t>
      </w:r>
      <w:r>
        <w:rPr/>
        <w:t xml:space="preserve">, New Orleans, USA, Dec. 2023.</w:t>
      </w:r>
    </w:p>
    <w:p>
      <w:pPr>
        <w:pStyle w:val="af5"/>
      </w:pPr>
      <w:r>
        <w:rPr/>
        <w:t xml:space="preserve">[5] A. Mandlekar et al., “What matters in learning from offline human demonstrations for robot manipulation,” in </w:t>
      </w:r>
      <w:r>
        <w:rPr>
          <w:i/>
        </w:rPr>
        <w:t xml:space="preserve">Proc. Conf. Robot Learning</w:t>
      </w:r>
      <w:r>
        <w:rPr/>
        <w:t xml:space="preserve">, pp. 1678-1690, London, UK, Nov. 2021.</w:t>
      </w:r>
    </w:p>
    <w:p>
      <w:pPr>
        <w:pStyle w:val="af5"/>
      </w:pPr>
      <w:r>
        <w:rPr/>
        <w:t xml:space="preserve">[6] G. Jocher, A. Chaurasia, and J. Qiu, </w:t>
      </w:r>
      <w:r>
        <w:rPr>
          <w:i/>
        </w:rPr>
        <w:t xml:space="preserve">Ultralytics YOLOv8</w:t>
      </w:r>
      <w:r>
        <w:rPr/>
        <w:t xml:space="preserve">, https://github.com/ultralytics/ultralytics, 2023.</w:t>
      </w:r>
    </w:p>
    <w:p>
      <w:pPr>
        <w:pStyle w:val="af5"/>
      </w:pPr>
      <w:r>
        <w:rPr/>
        <w:t xml:space="preserve">[7] E. Todorov, T. Erez, and Y. Tassa, “MuJoCo: A physics engine for model-based control,” in </w:t>
      </w:r>
      <w:r>
        <w:rPr>
          <w:i/>
        </w:rPr>
        <w:t xml:space="preserve">Proc. IEEE/RSJ Int. Conf. Intelligent Robots and Systems</w:t>
      </w:r>
      <w:r>
        <w:rPr/>
        <w:t xml:space="preserve">, pp. 5026-5033, Vilamoura, Portugal, Oct. 2012.</w:t>
      </w:r>
    </w:p>
    <w:sectPr w:rsidR="00A77F1A">
      <w:headerReference w:type="default" r:id="rId10"/>
      <w:footerReference w:type="default" r:id="rId11"/>
      <w:footnotePr>
        <w:numFmt w:val="lowerRoman"/>
        <w:numRestart w:val="eachPage"/>
      </w:footnotePr>
      <w:endnotePr>
        <w:numFmt w:val="decimal"/>
      </w:endnotePr>
      <w:pgSz w:w="11906" w:h="16838"/>
      <w:pgMar w:top="1984" w:right="1135" w:bottom="1138" w:left="1134" w:header="1134" w:footer="571" w:gutter="0"/>
      <w:cols w:num="2" w:space="51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8E3" w:rsidRDefault="00CF58E3">
      <w:pPr>
        <w:spacing w:after="0" w:line="240" w:lineRule="auto"/>
      </w:pPr>
      <w:r>
        <w:separator/>
      </w:r>
    </w:p>
  </w:endnote>
  <w:endnote w:type="continuationSeparator" w:id="0">
    <w:p w:rsidR="00CF58E3" w:rsidRDefault="00CF5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견고딕">
    <w:panose1 w:val="00000000000000000000"/>
    <w:charset w:val="81"/>
    <w:family w:val="roman"/>
    <w:notTrueType/>
    <w:pitch w:val="default"/>
  </w:font>
  <w:font w:name="한양견명조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F1A" w:rsidRDefault="00A77F1A">
    <w:pPr>
      <w:pStyle w:val="a3"/>
      <w:wordWrap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8E3" w:rsidRDefault="00CF58E3">
      <w:pPr>
        <w:spacing w:after="0" w:line="240" w:lineRule="auto"/>
      </w:pPr>
      <w:r>
        <w:separator/>
      </w:r>
    </w:p>
  </w:footnote>
  <w:footnote w:type="continuationSeparator" w:id="0">
    <w:p w:rsidR="00CF58E3" w:rsidRDefault="00CF5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F1A" w:rsidRDefault="00CF58E3">
    <w:pPr>
      <w:pStyle w:val="af"/>
      <w:tabs>
        <w:tab w:val="center" w:pos="5150"/>
        <w:tab w:val="right" w:pos="10150"/>
      </w:tabs>
      <w:jc w:val="right"/>
    </w:pPr>
    <w:r>
      <w:fldChar w:fldCharType="begin"/>
    </w:r>
    <w:r>
      <w:instrText>PAGE  \* ARABIC</w:instrText>
    </w:r>
    <w:r>
      <w:fldChar w:fldCharType="separate"/>
    </w:r>
    <w:r w:rsidR="00451151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numFmt w:val="lowerRoman"/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77F1A"/>
    <w:rsid w:val="00451151"/>
    <w:rsid w:val="00A77F1A"/>
    <w:rsid w:val="00CF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firstLine="200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customStyle="1" w:styleId="a5">
    <w:name w:val="각 장 제목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300" w:line="384" w:lineRule="auto"/>
      <w:jc w:val="center"/>
      <w:textAlignment w:val="baseline"/>
    </w:pPr>
    <w:rPr>
      <w:rFonts w:ascii="HY중고딕" w:eastAsia="HY중고딕"/>
      <w:b/>
      <w:color w:val="000000"/>
      <w:spacing w:val="-11"/>
      <w:sz w:val="22"/>
    </w:rPr>
  </w:style>
  <w:style w:type="paragraph" w:customStyle="1" w:styleId="a6">
    <w:name w:val="각 절 제목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wordWrap w:val="0"/>
      <w:autoSpaceDE w:val="0"/>
      <w:autoSpaceDN w:val="0"/>
      <w:snapToGrid w:val="0"/>
      <w:spacing w:after="0" w:line="384" w:lineRule="auto"/>
      <w:ind w:firstLine="200"/>
      <w:textAlignment w:val="baseline"/>
    </w:pPr>
    <w:rPr>
      <w:rFonts w:ascii="HY중고딕" w:eastAsia="HY중고딕"/>
      <w:color w:val="000000"/>
      <w:spacing w:val="-5"/>
      <w:w w:val="95"/>
      <w:sz w:val="22"/>
    </w:rPr>
  </w:style>
  <w:style w:type="paragraph" w:customStyle="1" w:styleId="a7">
    <w:name w:val="각 항 제목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wordWrap w:val="0"/>
      <w:autoSpaceDE w:val="0"/>
      <w:autoSpaceDN w:val="0"/>
      <w:snapToGrid w:val="0"/>
      <w:spacing w:after="0" w:line="384" w:lineRule="auto"/>
      <w:ind w:firstLine="200"/>
      <w:textAlignment w:val="baseline"/>
    </w:pPr>
    <w:rPr>
      <w:rFonts w:ascii="HY중고딕" w:eastAsia="HY중고딕"/>
      <w:color w:val="000000"/>
      <w:spacing w:val="-5"/>
      <w:w w:val="95"/>
    </w:rPr>
  </w:style>
  <w:style w:type="paragraph" w:customStyle="1" w:styleId="a8">
    <w:name w:val="그림/표 제목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408"/>
        <w:tab w:val="left" w:pos="686"/>
        <w:tab w:val="left" w:pos="756"/>
      </w:tabs>
      <w:wordWrap w:val="0"/>
      <w:autoSpaceDE w:val="0"/>
      <w:autoSpaceDN w:val="0"/>
      <w:snapToGrid w:val="0"/>
      <w:spacing w:after="0" w:line="312" w:lineRule="auto"/>
      <w:ind w:left="680" w:hanging="680"/>
      <w:textAlignment w:val="baseline"/>
    </w:pPr>
    <w:rPr>
      <w:rFonts w:ascii="한양중고딕" w:eastAsia="한양중고딕"/>
      <w:color w:val="000000"/>
      <w:spacing w:val="-5"/>
      <w:w w:val="95"/>
    </w:rPr>
  </w:style>
  <w:style w:type="paragraph" w:customStyle="1" w:styleId="a9">
    <w:name w:val="한글제목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360" w:after="160" w:line="384" w:lineRule="auto"/>
      <w:jc w:val="center"/>
      <w:textAlignment w:val="baseline"/>
    </w:pPr>
    <w:rPr>
      <w:rFonts w:ascii="한양신명조" w:eastAsia="한양신명조"/>
      <w:color w:val="000000"/>
      <w:spacing w:val="-20"/>
      <w:w w:val="90"/>
      <w:sz w:val="40"/>
    </w:rPr>
  </w:style>
  <w:style w:type="paragraph" w:customStyle="1" w:styleId="aa">
    <w:name w:val="영문제목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280" w:line="312" w:lineRule="auto"/>
      <w:ind w:left="200" w:right="200"/>
      <w:jc w:val="center"/>
      <w:textAlignment w:val="baseline"/>
    </w:pPr>
    <w:rPr>
      <w:rFonts w:ascii="한양신명조" w:eastAsia="한양신명조"/>
      <w:color w:val="000000"/>
      <w:w w:val="90"/>
      <w:sz w:val="30"/>
    </w:rPr>
  </w:style>
  <w:style w:type="paragraph" w:customStyle="1" w:styleId="ab">
    <w:name w:val="한글저자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160" w:line="408" w:lineRule="auto"/>
      <w:jc w:val="center"/>
      <w:textAlignment w:val="baseline"/>
    </w:pPr>
    <w:rPr>
      <w:rFonts w:ascii="한양신명조" w:eastAsia="한양신명조"/>
      <w:color w:val="000000"/>
      <w:sz w:val="24"/>
    </w:rPr>
  </w:style>
  <w:style w:type="paragraph" w:customStyle="1" w:styleId="ac">
    <w:name w:val="영문저자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280" w:line="408" w:lineRule="auto"/>
      <w:jc w:val="center"/>
      <w:textAlignment w:val="baseline"/>
    </w:pPr>
    <w:rPr>
      <w:rFonts w:ascii="한양신명조" w:eastAsia="한양신명조"/>
      <w:color w:val="000000"/>
      <w:spacing w:val="-11"/>
      <w:sz w:val="22"/>
    </w:rPr>
  </w:style>
  <w:style w:type="paragraph" w:customStyle="1" w:styleId="ad">
    <w:name w:val="요약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140" w:line="408" w:lineRule="auto"/>
      <w:jc w:val="center"/>
      <w:textAlignment w:val="baseline"/>
    </w:pPr>
    <w:rPr>
      <w:rFonts w:ascii="한양중고딕" w:eastAsia="한양중고딕"/>
      <w:color w:val="000000"/>
    </w:rPr>
  </w:style>
  <w:style w:type="paragraph" w:customStyle="1" w:styleId="ae">
    <w:name w:val="요약본문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320" w:line="312" w:lineRule="auto"/>
      <w:ind w:left="340" w:right="340" w:firstLine="200"/>
      <w:textAlignment w:val="baseline"/>
    </w:pPr>
    <w:rPr>
      <w:rFonts w:ascii="한양신명조" w:eastAsia="한양신명조"/>
      <w:color w:val="000000"/>
      <w:spacing w:val="-4"/>
      <w:w w:val="95"/>
      <w:sz w:val="18"/>
    </w:rPr>
  </w:style>
  <w:style w:type="paragraph" w:customStyle="1" w:styleId="Abstract">
    <w:name w:val="Abstract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140" w:line="408" w:lineRule="auto"/>
      <w:ind w:left="500" w:right="500"/>
      <w:jc w:val="center"/>
      <w:textAlignment w:val="baseline"/>
    </w:pPr>
    <w:rPr>
      <w:rFonts w:ascii="바탕" w:eastAsia="바탕"/>
      <w:b/>
      <w:color w:val="000000"/>
    </w:rPr>
  </w:style>
  <w:style w:type="paragraph" w:customStyle="1" w:styleId="af">
    <w:name w:val="머릿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3972"/>
        <w:tab w:val="right" w:pos="8568"/>
      </w:tabs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Y중고딕" w:eastAsia="HY중고딕"/>
      <w:color w:val="000000"/>
      <w:w w:val="90"/>
      <w:sz w:val="18"/>
    </w:rPr>
  </w:style>
  <w:style w:type="paragraph" w:customStyle="1" w:styleId="af0">
    <w:name w:val="꼬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한양중고딕" w:eastAsia="한양중고딕"/>
      <w:color w:val="000000"/>
      <w:spacing w:val="4"/>
      <w:w w:val="90"/>
      <w:sz w:val="16"/>
    </w:rPr>
  </w:style>
  <w:style w:type="paragraph" w:customStyle="1" w:styleId="af1">
    <w:name w:val="쪽 번호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견고딕" w:eastAsia="한양견고딕"/>
      <w:color w:val="000000"/>
    </w:rPr>
  </w:style>
  <w:style w:type="paragraph" w:customStyle="1" w:styleId="af2">
    <w:name w:val="각주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f3">
    <w:name w:val="논문번호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autoSpaceDE w:val="0"/>
      <w:autoSpaceDN w:val="0"/>
      <w:snapToGrid w:val="0"/>
      <w:spacing w:line="240" w:lineRule="auto"/>
      <w:jc w:val="left"/>
      <w:textAlignment w:val="baseline"/>
    </w:pPr>
    <w:rPr>
      <w:rFonts w:ascii="HY중고딕" w:eastAsia="HY중고딕"/>
      <w:color w:val="000000"/>
      <w:spacing w:val="5"/>
      <w:w w:val="95"/>
    </w:rPr>
  </w:style>
  <w:style w:type="character" w:customStyle="1" w:styleId="Keywords">
    <w:name w:val="Keywords제목"/>
    <w:uiPriority w:val="18"/>
    <w:rPr>
      <w:rFonts w:ascii="한양견명조" w:eastAsia="한양견명조"/>
      <w:color w:val="000000"/>
      <w:w w:val="95"/>
      <w:sz w:val="18"/>
    </w:rPr>
  </w:style>
  <w:style w:type="character" w:customStyle="1" w:styleId="Keywords0">
    <w:name w:val="Keywords내용"/>
    <w:uiPriority w:val="19"/>
    <w:rPr>
      <w:rFonts w:ascii="한양신명조" w:eastAsia="한양신명조"/>
      <w:color w:val="000000"/>
      <w:w w:val="95"/>
      <w:sz w:val="18"/>
    </w:rPr>
  </w:style>
  <w:style w:type="character" w:customStyle="1" w:styleId="af4">
    <w:name w:val="참고문헌번호"/>
    <w:uiPriority w:val="20"/>
    <w:rPr>
      <w:rFonts w:ascii="돋움" w:eastAsia="돋움"/>
      <w:color w:val="000000"/>
      <w:sz w:val="18"/>
      <w:vertAlign w:val="superscript"/>
    </w:rPr>
  </w:style>
  <w:style w:type="paragraph" w:customStyle="1" w:styleId="af5">
    <w:name w:val="참고문헌내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360" w:hanging="360"/>
      <w:textAlignment w:val="baseline"/>
    </w:pPr>
    <w:rPr>
      <w:rFonts w:ascii="한양신명조" w:eastAsia="한양신명조"/>
      <w:color w:val="000000"/>
      <w:spacing w:val="-5"/>
      <w:w w:val="95"/>
    </w:rPr>
  </w:style>
  <w:style w:type="character" w:customStyle="1" w:styleId="-">
    <w:name w:val="저자소개-이름"/>
    <w:uiPriority w:val="22"/>
    <w:rPr>
      <w:rFonts w:ascii="한양중고딕" w:eastAsia="한양중고딕"/>
      <w:color w:val="000000"/>
      <w:sz w:val="22"/>
    </w:rPr>
  </w:style>
  <w:style w:type="paragraph" w:customStyle="1" w:styleId="-0">
    <w:name w:val="저자소개-약력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신명조" w:eastAsia="한양신명조"/>
      <w:color w:val="000000"/>
    </w:rPr>
  </w:style>
  <w:style w:type="paragraph" w:customStyle="1" w:styleId="af6">
    <w:name w:val="수식번호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408"/>
        <w:tab w:val="left" w:pos="686"/>
        <w:tab w:val="left" w:pos="756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pacing w:val="-5"/>
      <w:w w:val="95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Fig1" Type="http://schemas.openxmlformats.org/officeDocument/2006/relationships/image" Target="media/rfig1.png"/><Relationship Id="rIdFig2" Type="http://schemas.openxmlformats.org/officeDocument/2006/relationships/image" Target="media/rfig2.png"/><Relationship Id="rIdFig3" Type="http://schemas.openxmlformats.org/officeDocument/2006/relationships/image" Target="media/rfig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2</cp:revision>
  <dcterms:created xsi:type="dcterms:W3CDTF">2002-02-07T08:08:00Z</dcterms:created>
  <dcterms:modified xsi:type="dcterms:W3CDTF">2021-07-30T01:40:00Z</dcterms:modified>
</cp:coreProperties>
</file>