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Locating where the policy closed the gripper revealed two causes in the demonstration design rather than in the policy: the fixed jaw approached too close to the bin wall, and the scripted demonstrator switched to another wall when the bin was rotated by more than about 8 degrees, which made the demonstrations bimodal. A 9 mm grasp clearance and a single grasp wall raised the sequence success with the same 100 demonstrations to [  ]%, and 1000 demonstrations reached [  ]% ([  ]% with DART noise injection).</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b/>
          <w:sz w:val="18"/>
          <w:szCs w:val="18"/>
        </w:rPr>
        <w:t xml:space="preserve">멀티스레드 비동기 처리.</w:t>
      </w:r>
      <w:r>
        <w:rPr>
          <w:rFonts w:ascii="HY신명조" w:eastAsia="HY신명조" w:hAnsi="HY신명조" w:hint="eastAsia"/>
          <w:sz w:val="18"/>
          <w:szCs w:val="18"/>
        </w:rPr>
        <w:t xml:space="preserve"> 단일 루프에서는 YOLO 추론이 카메라 캡처를 막아 캡처 속도가 1.2 FPS까지 떨어졌다. 캡처 스레드는 최신 프레임만 공유 버퍼에 쓰고, 추론 스레드는 5초 주기로 그 프레임을 가져와 추론하며, 스트리밍은 비동기 생성기로 MJPEG를 보낸다. 공유 변수는 잠금(lock)으로 보호한다.</w:t>
      </w:r>
    </w:p>
    <w:p>
      <w:pPr>
        <w:pStyle w:val="a3"/>
        <w:wordWrap/>
        <w:spacing w:before="0" w:after="0" w:line="288" w:lineRule="auto"/>
        <w:ind w:firstLine="180"/>
        <w:jc w:val="both"/>
      </w:pPr>
      <w:r>
        <w:rPr>
          <w:rFonts w:ascii="HY신명조" w:eastAsia="HY신명조" w:hAnsi="HY신명조" w:hint="eastAsia"/>
          <w:b/>
          <w:sz w:val="18"/>
          <w:szCs w:val="18"/>
        </w:rPr>
        <w:t xml:space="preserve">ONNX Runtime 병렬 추론.</w:t>
      </w:r>
      <w:r>
        <w:rPr>
          <w:rFonts w:ascii="HY신명조" w:eastAsia="HY신명조" w:hAnsi="HY신명조" w:hint="eastAsia"/>
          <w:sz w:val="18"/>
          <w:szCs w:val="18"/>
        </w:rPr>
        <w:t xml:space="preserve"> ONNX Runtime[11] 세션에 연산 스레드 6개, 병렬 실행 모드, 전체 그래프 최적화를 적용하여 단일 스레드 대비 추론 속도를 약 3배 높였다. 입력 크기는 세션에서 읽어 모델을 바꿔도 코드를 고치지 않도록 하였다.</w:t>
      </w:r>
    </w:p>
    <w:p>
      <w:pPr>
        <w:pStyle w:val="a3"/>
        <w:wordWrap/>
        <w:spacing w:before="0" w:after="0" w:line="288" w:lineRule="auto"/>
        <w:ind w:firstLine="180"/>
        <w:jc w:val="both"/>
      </w:pPr>
      <w:r>
        <w:rPr>
          <w:rFonts w:ascii="HY신명조" w:eastAsia="HY신명조" w:hAnsi="HY신명조" w:hint="eastAsia"/>
          <w:b/>
          <w:sz w:val="18"/>
          <w:szCs w:val="18"/>
        </w:rPr>
        <w:t xml:space="preserve">2단계 디지털 줌.</w:t>
      </w:r>
      <w:r>
        <w:rPr>
          <w:rFonts w:ascii="HY신명조" w:eastAsia="HY신명조" w:hAnsi="HY신명조" w:hint="eastAsia"/>
          <w:sz w:val="18"/>
          <w:szCs w:val="18"/>
        </w:rPr>
        <w:t xml:space="preserve"> 카메라와 저울의 거리가 멀어지면 숫자가 작아져 '8'을 '1'로 오인식하였다. 1단계에서 전체 프레임으로 표시부(screen) 영역을 찾고, 2단계에서 그 영역을 여백 15화소와 함께 잘라 640×640으로 확대한 뒤 숫자를 다시 탐지하여, 거리와 관계없이 숫자가 입력 전체를 차지하게 하였다.</w:t>
      </w:r>
    </w:p>
    <w:p>
      <w:pPr>
        <w:pStyle w:val="a3"/>
        <w:wordWrap/>
        <w:spacing w:before="0" w:after="0" w:line="288" w:lineRule="auto"/>
        <w:ind w:firstLine="180"/>
        <w:jc w:val="both"/>
      </w:pPr>
      <w:r>
        <w:rPr>
          <w:rFonts w:ascii="HY신명조" w:eastAsia="HY신명조" w:hAnsi="HY신명조" w:hint="eastAsia"/>
          <w:b/>
          <w:sz w:val="18"/>
          <w:szCs w:val="18"/>
        </w:rPr>
        <w:t xml:space="preserve">4단계 숫자 조합.</w:t>
      </w:r>
      <w:r>
        <w:rPr>
          <w:rFonts w:ascii="HY신명조" w:eastAsia="HY신명조" w:hAnsi="HY신명조" w:hint="eastAsia"/>
          <w:sz w:val="18"/>
          <w:szCs w:val="18"/>
        </w:rPr>
        <w:t xml:space="preserve"> YOLO는 한 숫자에 여러 상자를 내어 '118'이 '111111888'로 조합되었다. ① 숫자가 아닌 클래스 제거, ② IoU 0.4 기준 NMS, ③ x 범위를 자릿수(3)로 나눠 구역별 최고 신뢰도 선택, ④ 자릿수가 모자라면 원래 탐지의 밀도로 같은 숫자가 반복된 자리를 복원하는 순서로 무게를 조합한다(그림 2).</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92736"/>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79273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7-segment 무게 인식 파이프라인</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3).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 이 설계는 ±9mm의 위치 오차에서도 파지에 성공하였다(표 1, 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시연은 270스텝(9초)이며 성공한 것만 남겼다(전문가 성공률 1층 100%, 옆 96%, 2층 100%).</w:t>
      </w:r>
    </w:p>
    <w:p>
      <w:pPr>
        <w:pStyle w:val="a3"/>
        <w:keepNext/>
        <w:wordWrap/>
        <w:spacing w:before="80" w:after="40" w:line="264" w:lineRule="auto"/>
        <w:jc w:val="center"/>
      </w:pPr>
      <w:r>
        <w:rPr>
          <w:rFonts w:ascii="HY신명조" w:eastAsia="HY신명조" w:hAnsi="HY신명조" w:hint="eastAsia"/>
          <w:sz w:val="17"/>
          <w:szCs w:val="17"/>
        </w:rPr>
        <w:t xml:space="preserve">표 1. 파지 위치 오차에 따른 시연 성공률 (%)</w:t>
      </w:r>
    </w:p>
    <w:tbl>
      <w:tblPr>
        <w:tblW w:w="45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250"/>
        <w:gridCol w:w="470"/>
        <w:gridCol w:w="470"/>
        <w:gridCol w:w="470"/>
        <w:gridCol w:w="470"/>
        <w:gridCol w:w="470"/>
        <w:gridCol w:w="470"/>
        <w:gridCol w:w="470"/>
      </w:tblGrid>
      <w:tr>
        <w:trPr>
          <w:cantSplit/>
        </w:trPr>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벽 법선 오차(mm)</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−12</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−3</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0</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1.5mm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17</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9mm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75</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2는 두 YOLOv8 모델의 학습 결과(50 에폭, 입력 640, 마지막 에폭의 검증 집합 기준)이다. 숫자 모델은 숫자 0~9와 부호, 표시부(screen)의 13개 클래스를 학습하여 mAP50 86.3%, mAP50-95 65.6%를 얻었다. mAP50-95가 낮은 것은 작은 숫자의 상자 위치가 엄격한 IoU 기준에서 어긋나기 때문이며, 이를 2단계 디지털 줌과 숫자 조합 규칙으로 보완하였다.</w:t>
      </w:r>
    </w:p>
    <w:p>
      <w:pPr>
        <w:pStyle w:val="a3"/>
        <w:keepNext/>
        <w:wordWrap/>
        <w:spacing w:before="80" w:after="40" w:line="264" w:lineRule="auto"/>
        <w:jc w:val="center"/>
      </w:pPr>
      <w:r>
        <w:rPr>
          <w:rFonts w:ascii="HY신명조" w:eastAsia="HY신명조" w:hAnsi="HY신명조" w:hint="eastAsia"/>
          <w:sz w:val="17"/>
          <w:szCs w:val="17"/>
        </w:rPr>
        <w:t xml:space="preserve">표 2. YOLOv8 모델 학습 결과 (%)</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250"/>
        <w:gridCol w:w="500"/>
        <w:gridCol w:w="650"/>
        <w:gridCol w:w="650"/>
        <w:gridCol w:w="650"/>
        <w:gridCol w:w="700"/>
      </w:tblGrid>
      <w:tr>
        <w:trPr>
          <w:cantSplit/>
        </w:trPr>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모델</w:t>
            </w:r>
          </w:p>
        </w:tc>
        <w:tc>
          <w:tcPr>
            <w:tcW w:w="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클래스</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정밀도</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재현율</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mAP50</w:t>
            </w:r>
          </w:p>
        </w:tc>
        <w:tc>
          <w:tcPr>
            <w:tcW w:w="7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mAP50-95</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숫자 (v8n)</w:t>
            </w:r>
          </w:p>
        </w:tc>
        <w:tc>
          <w:tcPr>
            <w:tcW w:w="500" w:type="dxa"/>
            <w:vAlign w:val="center"/>
          </w:tcPr>
          <w:p>
            <w:pPr>
              <w:pStyle w:val="a3"/>
              <w:spacing w:before="10" w:after="10" w:line="240" w:lineRule="auto"/>
              <w:jc w:val="center"/>
            </w:pPr>
            <w:r>
              <w:rPr>
                <w:rFonts w:ascii="HY신명조" w:eastAsia="HY신명조" w:hAnsi="HY신명조" w:hint="eastAsia"/>
                <w:sz w:val="15"/>
                <w:szCs w:val="15"/>
              </w:rPr>
              <w:t xml:space="preserve">13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80.8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86.3</w:t>
            </w:r>
          </w:p>
        </w:tc>
        <w:tc>
          <w:tcPr>
            <w:tcW w:w="700" w:type="dxa"/>
            <w:vAlign w:val="center"/>
          </w:tcPr>
          <w:p>
            <w:pPr>
              <w:pStyle w:val="a3"/>
              <w:spacing w:before="10" w:after="10" w:line="240" w:lineRule="auto"/>
              <w:jc w:val="center"/>
            </w:pPr>
            <w:r>
              <w:rPr>
                <w:rFonts w:ascii="HY신명조" w:eastAsia="HY신명조" w:hAnsi="HY신명조" w:hint="eastAsia"/>
                <w:sz w:val="15"/>
                <w:szCs w:val="15"/>
              </w:rPr>
              <w:t xml:space="preserve">65.6</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상자 (v8n-seg)</w:t>
            </w:r>
          </w:p>
        </w:tc>
        <w:tc>
          <w:tcPr>
            <w:tcW w:w="50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99.5</w:t>
            </w:r>
          </w:p>
        </w:tc>
        <w:tc>
          <w:tcPr>
            <w:tcW w:w="700" w:type="dxa"/>
            <w:vAlign w:val="center"/>
          </w:tcPr>
          <w:p>
            <w:pPr>
              <w:pStyle w:val="a3"/>
              <w:spacing w:before="10" w:after="10" w:line="240" w:lineRule="auto"/>
              <w:jc w:val="center"/>
            </w:pPr>
            <w:r>
              <w:rPr>
                <w:rFonts w:ascii="HY신명조" w:eastAsia="HY신명조" w:hAnsi="HY신명조" w:hint="eastAsia"/>
                <w:sz w:val="15"/>
                <w:szCs w:val="15"/>
              </w:rPr>
              <w:t xml:space="preserve">96.5</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Jetson Orin Nano에서 조건별 20회 반복 측정하였다. 캡처·추론 분리로 캡처 속도는 1.2에서 59.5 FPS로 약 50배 향상되었다(표 3). 2단계 디지털 줌은 중거리 정확도를 45%에서 90%, 원거리를 15%에서 80%로 높였다(표 4). NMS만으로는 '118'처럼 같은 숫자가 반복되는 경우 자릿수가 사라졌으나 ④단계 보완으로 복원되었고(표 5), 전체 후처리를 적용한 3자리 조합 정확도는 87.5%(70/80)였다. 기준값 자동 분류의 정분류율은 91.7%(55/60), 인식부터 명령 전송까지 평균 응답 시간은 약 810ms였다.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3. 캡처 속도</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700"/>
        <w:gridCol w:w="1300"/>
        <w:gridCol w:w="1400"/>
      </w:tblGrid>
      <w:tr>
        <w:trPr>
          <w:cantSplit/>
        </w:trPr>
        <w:tc>
          <w:tcPr>
            <w:tcW w:w="17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구분</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캡처 FPS</w:t>
            </w:r>
          </w:p>
        </w:tc>
        <w:tc>
          <w:tcPr>
            <w:tcW w:w="14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추론 주기</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단일 루프</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1.2</w:t>
            </w:r>
          </w:p>
        </w:tc>
        <w:tc>
          <w:tcPr>
            <w:tcW w:w="1400" w:type="dxa"/>
            <w:vAlign w:val="center"/>
          </w:tcPr>
          <w:p>
            <w:pPr>
              <w:pStyle w:val="a3"/>
              <w:spacing w:before="10" w:after="10" w:line="240" w:lineRule="auto"/>
              <w:jc w:val="center"/>
            </w:pPr>
            <w:r>
              <w:rPr>
                <w:rFonts w:ascii="HY신명조" w:eastAsia="HY신명조" w:hAnsi="HY신명조" w:hint="eastAsia"/>
                <w:sz w:val="15"/>
                <w:szCs w:val="15"/>
              </w:rPr>
              <w:t xml:space="preserve">매 프레임</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캡처·추론 분리</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59.5</w:t>
            </w:r>
          </w:p>
        </w:tc>
        <w:tc>
          <w:tcPr>
            <w:tcW w:w="1400" w:type="dxa"/>
            <w:vAlign w:val="center"/>
          </w:tcPr>
          <w:p>
            <w:pPr>
              <w:pStyle w:val="a3"/>
              <w:spacing w:before="10" w:after="10" w:line="240" w:lineRule="auto"/>
              <w:jc w:val="center"/>
            </w:pPr>
            <w:r>
              <w:rPr>
                <w:rFonts w:ascii="HY신명조" w:eastAsia="HY신명조" w:hAnsi="HY신명조" w:hint="eastAsia"/>
                <w:sz w:val="15"/>
                <w:szCs w:val="15"/>
              </w:rPr>
              <w:t xml:space="preserve">5초</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80" w:after="40" w:line="264" w:lineRule="auto"/>
        <w:jc w:val="center"/>
      </w:pPr>
      <w:r>
        <w:rPr>
          <w:rFonts w:ascii="HY신명조" w:eastAsia="HY신명조" w:hAnsi="HY신명조" w:hint="eastAsia"/>
          <w:sz w:val="17"/>
          <w:szCs w:val="17"/>
        </w:rPr>
        <w:t xml:space="preserve">표 4. 거리별 인식 정확도 (%)</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250"/>
        <w:gridCol w:w="12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촬영 거리</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1단계만</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2단계 줌</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근거리 (20cm 이내)</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중거리 (30~50cm)</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45</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원거리 (50cm 이상)</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15</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80" w:after="40" w:line="264" w:lineRule="auto"/>
        <w:jc w:val="center"/>
      </w:pPr>
      <w:r>
        <w:rPr>
          <w:rFonts w:ascii="HY신명조" w:eastAsia="HY신명조" w:hAnsi="HY신명조" w:hint="eastAsia"/>
          <w:sz w:val="17"/>
          <w:szCs w:val="17"/>
        </w:rPr>
        <w:t xml:space="preserve">표 5. 숫자 조합 결과</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000"/>
        <w:gridCol w:w="1250"/>
        <w:gridCol w:w="900"/>
        <w:gridCol w:w="1250"/>
      </w:tblGrid>
      <w:tr>
        <w:trPr>
          <w:cantSplit/>
        </w:trPr>
        <w:tc>
          <w:tcPr>
            <w:tcW w:w="10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표시값</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후처리 없음</w:t>
            </w:r>
          </w:p>
        </w:tc>
        <w:tc>
          <w:tcPr>
            <w:tcW w:w="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NMS만</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전체 파이프라인</w:t>
            </w:r>
          </w:p>
        </w:tc>
      </w:tr>
      <w:tr>
        <w:trPr>
          <w:cantSplit/>
        </w:trPr>
        <w:tc>
          <w:tcPr>
            <w:tcW w:w="1000" w:type="dxa"/>
            <w:vAlign w:val="center"/>
          </w:tcPr>
          <w:p>
            <w:pPr>
              <w:pStyle w:val="a3"/>
              <w:spacing w:before="10" w:after="10" w:line="240" w:lineRule="auto"/>
              <w:jc w:val="center"/>
            </w:pPr>
            <w:r>
              <w:rPr>
                <w:rFonts w:ascii="HY신명조" w:eastAsia="HY신명조" w:hAnsi="HY신명조" w:hint="eastAsia"/>
                <w:sz w:val="15"/>
                <w:szCs w:val="15"/>
              </w:rPr>
              <w:t xml:space="preserve">118g</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111111888</w:t>
            </w:r>
          </w:p>
        </w:tc>
        <w:tc>
          <w:tcPr>
            <w:tcW w:w="900" w:type="dxa"/>
            <w:vAlign w:val="center"/>
          </w:tcPr>
          <w:p>
            <w:pPr>
              <w:pStyle w:val="a3"/>
              <w:spacing w:before="10" w:after="10" w:line="240" w:lineRule="auto"/>
              <w:jc w:val="center"/>
            </w:pPr>
            <w:r>
              <w:rPr>
                <w:rFonts w:ascii="HY신명조" w:eastAsia="HY신명조" w:hAnsi="HY신명조" w:hint="eastAsia"/>
                <w:sz w:val="15"/>
                <w:szCs w:val="15"/>
              </w:rPr>
              <w:t xml:space="preserve">18</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118</w:t>
            </w:r>
          </w:p>
        </w:tc>
      </w:tr>
      <w:tr>
        <w:trPr>
          <w:cantSplit/>
        </w:trPr>
        <w:tc>
          <w:tcPr>
            <w:tcW w:w="1000" w:type="dxa"/>
            <w:vAlign w:val="center"/>
          </w:tcPr>
          <w:p>
            <w:pPr>
              <w:pStyle w:val="a3"/>
              <w:spacing w:before="10" w:after="10" w:line="240" w:lineRule="auto"/>
              <w:jc w:val="center"/>
            </w:pPr>
            <w:r>
              <w:rPr>
                <w:rFonts w:ascii="HY신명조" w:eastAsia="HY신명조" w:hAnsi="HY신명조" w:hint="eastAsia"/>
                <w:sz w:val="15"/>
                <w:szCs w:val="15"/>
              </w:rPr>
              <w:t xml:space="preserve">291g</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222999111</w:t>
            </w:r>
          </w:p>
        </w:tc>
        <w:tc>
          <w:tcPr>
            <w:tcW w:w="900" w:type="dxa"/>
            <w:vAlign w:val="center"/>
          </w:tcPr>
          <w:p>
            <w:pPr>
              <w:pStyle w:val="a3"/>
              <w:spacing w:before="10" w:after="10" w:line="240" w:lineRule="auto"/>
              <w:jc w:val="center"/>
            </w:pPr>
            <w:r>
              <w:rPr>
                <w:rFonts w:ascii="HY신명조" w:eastAsia="HY신명조" w:hAnsi="HY신명조" w:hint="eastAsia"/>
                <w:sz w:val="15"/>
                <w:szCs w:val="15"/>
              </w:rPr>
              <w:t xml:space="preserve">291</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291</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6. 적재 성공률 (%, 시뮬레이션, 각 50회)</w:t>
      </w:r>
    </w:p>
    <w:tbl>
      <w:tblPr>
        <w:tblW w:w="43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050"/>
        <w:gridCol w:w="560"/>
        <w:gridCol w:w="560"/>
        <w:gridCol w:w="560"/>
        <w:gridCol w:w="620"/>
      </w:tblGrid>
      <w:tr>
        <w:trPr>
          <w:cantSplit/>
        </w:trPr>
        <w:tc>
          <w:tcPr>
            <w:tcW w:w="20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 수</w:t>
            </w:r>
          </w:p>
        </w:tc>
        <w:tc>
          <w:tcPr>
            <w:tcW w:w="56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56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56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62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여유 1.5mm, 로봇 쪽 벽 / 100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28</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여유 9mm, 로봇 쪽 벽 / 100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여유 9mm, 로봇 쪽 벽 / 200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여유 9mm, 같은 벽 / 100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같은 벽 / 200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같은 벽 / 500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같은 벽 / 1000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같은 벽 + DART / 200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같은 벽 + DART / 1000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6은 단계별 성공률(각 50회)과 세 단계를 이어 수행한 연속 성공률(50회)이다. 초기 시연(여유 1.5mm, 100회)의 단계별 성공률은 1층 76%, 옆 84%, 2층 50%였으나, 앞 단계의 배치 오차가 다음 단계로 넘어가 연속 성공률은 28%에 그쳤다. 실패의 대부분은 고정 집게가 통 벽 위에 걸려 끝까지 내려가지 못한 채 닫힌 경우였다. 파지 여유를 9mm로 둔 시연으로 같은 100회를 학습하면 단계별 90%, 88%, 72%, 연속 62%로 높아졌다. 남은 실패 25건 중 24건은 저울 위 통이 +7.5° 넘게 돌아간 시행에서 일어났다(그림 4). 이 구간의 실패율은 49%, 나머지는 1%로, 전문가가 잡는 벽을 바꾸는 구간과 일치한다. 이때 정책은 앞벽과 옆벽 시연의 중간인 모서리 쪽으로 가서 집게를 벽 위에 얹은 채 닫았다. 같은 설계로 시연을 200회로 늘리면 연속 성공률은 오히려 36%로 낮아졌고, 이 구간의 실패가 24건에서 32건으로 늘었다. 늘 같은 벽을 잡는 시연으로 바꾸자 같은 100회에서 단계별 [  ]%, [  ]%, [  ]%, 연속 [  ]%였다.</w:t>
      </w:r>
    </w:p>
    <w:p>
      <w:pPr>
        <w:pStyle w:val="a3"/>
        <w:wordWrap/>
        <w:spacing w:before="0" w:after="0" w:line="288" w:lineRule="auto"/>
        <w:ind w:firstLine="180"/>
        <w:jc w:val="both"/>
      </w:pPr>
      <w:r>
        <w:rPr>
          <w:rFonts w:ascii="HY신명조" w:eastAsia="HY신명조" w:hAnsi="HY신명조" w:hint="eastAsia"/>
          <w:sz w:val="18"/>
          <w:szCs w:val="18"/>
        </w:rPr>
        <w:t xml:space="preserve">같은 벽 시연을 200, 500, 1000회로 늘리면 연속 성공률은 [  ]%, [  ]%, [  ]%였다. 시연 잡음을 주입한 DART 정책은 같은 1000회에서 단계별 [  ]%, [  ]%, [  ]%, 연속 [  ]%였고, 200회에서는 연속 [  ]%(일반 200회 [  ]%)였다. 모방학습 성능이 시연 수보다 시연의 다양성과 일관성에 좌우된다는 보고[16]와 같이, 시연 수를 늘리는 것만으로는 시연 설계의 효과를 대신하기 어렵다.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96666"/>
            <wp:docPr id="105" name="Figure 5"/>
            <a:graphic>
              <a:graphicData uri="http://schemas.openxmlformats.org/drawingml/2006/picture">
                <pic:pic>
                  <pic:nvPicPr>
                    <pic:cNvPr id="105" name="fig5.png"/>
                    <pic:cNvPicPr/>
                  </pic:nvPicPr>
                  <pic:blipFill>
                    <a:blip r:embed="rIdFig5"/>
                    <a:stretch>
                      <a:fillRect/>
                    </a:stretch>
                  </pic:blipFill>
                  <pic:spPr>
                    <a:xfrm>
                      <a:off x="0" y="0"/>
                      <a:ext cx="2793333" cy="139666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5. ACT 정책의 연속 적재 장면</w:t>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일관성)에 있음을 파지 위치와 장면 분석으로 밝혀 시연 100회의 연속 성공률을 28%에서 [  ]%로 높였다.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