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  ]%. Domain randomization with brightness normalization and CLAHE kept [  ]% average per-stage success under fifteen environment changes, against [  ]% without them.</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또한 영상의 밝기 채널을 1~99 백분위수 기준으로 늘여 맞춘 뒤 CLAHE[18]를 적용하는 전처리를 학습과 실행에 함께 썼다. CLAHE만으로는 조명을 절반으로 줄였을 때의 영상 변화가 8% 줄었으나, 밝기 정규화를 먼저 하면 약 1/5로 줄었다.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2.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3.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④+무작위화·CLAHE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3은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경우였다. 파지 여유를 9mm로 둔 시연으로 같은 100회를 학습하면 단계별 90%, 88%, 72%, 연속 62%로 높아졌다. 남은 실패 25건 중 24건은 저울 위 통이 +7.5° 넘게 돌아간 시행에서 일어났다(그림 3). 이 구간의 실패율은 49%, 나머지는 1%로, 전문가가 잡는 벽을 바꾸는 구간과 일치한다. 이때 정책은 앞벽과 옆벽 시연의 중간인 모서리 쪽으로 가서 집게를 벽 위에 얹은 채 닫았다. 같은 설계로 시연을 200회로 늘리면 연속 성공률은 오히려 36%로 낮아졌고, 이 구간의 실패가 24건에서 32건으로 늘었다. 늘 같은 벽을 잡는 시연(③)으로 바꾸자 같은 100회에서 집기 실패가 없어져 단계별 100%, 100%, 86%, 연속 82%가 되었다. 남은 2층 실패는 모두 통 C를 평평하게 놓은 뒤 그리퍼가 곧장 올라가며 고정 집게로 벽을 끌어 올려 10° 넘게 기운 경우였고, 2mm 벽 위에 얹힌 통이라 바닥에서와 달리 다시 내려앉지 못했다. 그리퍼를 벌린 뒤 벽 바깥으로 5mm 물러났다가 올라가는 시연(④, 2층만)으로 바꾸자 전문가의 3° 이상 기울어짐이 50회 중 11회에서 1회로 줄었고, 정책은 단계별 100%, 100%, 100%, 연속 96%였다. 같은 정책을 장면 200개로 늘려 평가하면(CPU 추론) 단계별 100.0%, 100.0%, 99.5%, 연속 99.0%(95% CI 96.4–99.7%)로, 팀의 원래 조건인 단계별 시연 100회만으로 연속 성공률 95% 이상을 신뢰구간 하한까지 확인하였다.</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늘리면 연속 성공률은 [  ]%, [  ]%, [  ]%였다(그림 4). 시연 잡음을 주입한 DART 정책은 같은 1000회에서 연속 [  ]%였다. 저울을 다시 읽어 통이 그대로 있으면 집기 실패로 보고 같은 단계를 다시 실행하게 하면(최대 3회), ② 시연 100회 정책의 연속 성공률은 58%에서 74%로, ④ 시연 1000회 정책은 [  ]%에서 [  ]%로 높아졌다. 적재 1회는 정책 실행 9초와 홈 복귀 1초로 약 10초가 걸리며, 무게 분류 정분류율(91.7%)을 곱한 공정 전체 성공률은 ④ 시연 1000회 기준 약 [  ]%이다. 모방학습 성능이 시연 수보다 시연의 다양성과 일관성에 좌우된다는 보고[16]와 같이, 시연 수를 늘리는 것만으로는 시연 설계의 효과를 대신하기 어렵다.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ACT 정책의 연속 적재 장면</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학습이 끝난 정책을 그대로 두고 조명(어둡게 50%, 밝게 160%, 옆 조명), 작업대 색(회색, 짙은 갈색), 카메라 장착(상단 10mm·2°, 손목 3mm·2°), 주변 물건, 학습 범위 밖의 통 위치(22~28mm)·방향(22~30°), 아래 통의 어긋남(10~14mm), 통 무게(100g, 200g), 관측 지연(67ms, 133ms) 중 하나씩만 바꾸어 단계별로 20회씩 평가하였다(표 4). 기존 시연 1000회 정책은 변화 조건 평균 [  ]%(최저 [  ]%)였으나, 도메인 랜덤화 시연으로 학습하면 [  ]%, 밝기 정규화·CLAHE를 더하면 [  ]%(최저 [  ]%)였다. 어둡게 한 조건에서는 각각 [  ]%, [  ]%, [  ]%였다.</w:t>
      </w:r>
    </w:p>
    <w:p>
      <w:pPr>
        <w:pStyle w:val="a3"/>
        <w:keepNext/>
        <w:wordWrap/>
        <w:spacing w:before="80" w:after="40" w:line="264" w:lineRule="auto"/>
        <w:jc w:val="center"/>
      </w:pPr>
      <w:r>
        <w:rPr>
          <w:rFonts w:ascii="HY신명조" w:eastAsia="HY신명조" w:hAnsi="HY신명조" w:hint="eastAsia"/>
          <w:sz w:val="17"/>
          <w:szCs w:val="17"/>
        </w:rPr>
        <w:t xml:space="preserve">표 4.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26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26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