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96% and with 1000 demonstrations to [  ]%. Domain randomization with brightness normalization and CLAHE kept [  ]% average per-stage success under fifteen environment changes, against [  ]% without them.</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실패가 일어난 파지 위치와 장면을 분석하여 원인이 정책보다 시연 설계(파지 여유, 잡는 벽의 일관성)에 있음을 밝히고, 시연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Runtime[11]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2).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 이 설계는 ±9mm의 위치 오차에서도 파지에 성공하였다(표 1, 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keepNext/>
        <w:wordWrap/>
        <w:spacing w:before="80" w:after="40" w:line="264" w:lineRule="auto"/>
        <w:jc w:val="center"/>
      </w:pPr>
      <w:r>
        <w:rPr>
          <w:rFonts w:ascii="HY신명조" w:eastAsia="HY신명조" w:hAnsi="HY신명조" w:hint="eastAsia"/>
          <w:sz w:val="17"/>
          <w:szCs w:val="17"/>
        </w:rPr>
        <w:t xml:space="preserve">표 1. 파지 위치 오차에 따른 시연 성공률 (%)</w:t>
      </w:r>
    </w:p>
    <w:tbl>
      <w:tblPr>
        <w:tblW w:w="45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250"/>
        <w:gridCol w:w="470"/>
        <w:gridCol w:w="470"/>
        <w:gridCol w:w="470"/>
        <w:gridCol w:w="470"/>
        <w:gridCol w:w="470"/>
        <w:gridCol w:w="470"/>
        <w:gridCol w:w="470"/>
      </w:tblGrid>
      <w:tr>
        <w:trPr>
          <w:cantSplit/>
        </w:trPr>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벽 법선 오차(mm)</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−12</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−3</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0</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1.5mm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17</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9mm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75</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랜덤화[17] 시연을 만들었다. 통의 색은 공정의 판정 기준이므로 바꾸지 않았다. 또한 영상의 밝기 채널을 1~99 백분위수 기준으로 늘여 맞춘 뒤 CLAHE[18]를 적용하는 전처리를 학습과 실행에 함께 썼다. CLAHE만으로는 조명을 절반으로 줄였을 때의 영상 변화가 8% 줄었으나, 밝기 정규화를 먼저 하면 약 1/5로 줄었다.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2는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2.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3.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92 (81–97)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(500)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④+무작위화·CLAHE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3은 단계별 성공률(각 50회)과 세 단계를 이어 수행한 연속 성공률(50회)이다. 초기 시연(여유 1.5mm, 100회)의 단계별 성공률은 1층 76%, 옆 84%, 2층 50%였으나, 앞 단계의 배치 오차가 다음 단계로 넘어가 연속 성공률은 28%에 그쳤다. 실패의 대부분은 고정 집게가 통 벽 위에 걸려 끝까지 내려가지 못한 채 닫힌 경우였다. 파지 여유를 9mm로 둔 시연으로 같은 100회를 학습하면 단계별 90%, 88%, 72%, 연속 62%로 높아졌다. 남은 실패 25건 중 24건은 저울 위 통이 +7.5° 넘게 돌아간 시행에서 일어났다(그림 3). 이 구간의 실패율은 49%, 나머지는 1%로, 전문가가 잡는 벽을 바꾸는 구간과 일치한다. 이때 정책은 앞벽과 옆벽 시연의 중간인 모서리 쪽으로 가서 집게를 벽 위에 얹은 채 닫았다. 같은 설계로 시연을 200회로 늘리면 연속 성공률은 오히려 36%로 낮아졌고, 이 구간의 실패가 24건에서 32건으로 늘었다. 늘 같은 벽을 잡는 시연(③)으로 바꾸자 같은 100회에서 집기 실패가 없어져 단계별 100%, 100%, 86%, 연속 82%가 되었다. 남은 2층 실패는 모두 통 C를 평평하게 놓은 뒤 그리퍼가 곧장 올라가며 고정 집게로 벽을 끌어 올려 10° 넘게 기운 경우였고, 2mm 벽 위에 얹힌 통이라 바닥에서와 달리 다시 내려앉지 못했다. 그리퍼를 벌린 뒤 벽 바깥으로 5mm 물러났다가 올라가는 시연(④, 2층만)으로 바꾸자 전문가의 3° 이상 기울어짐이 50회 중 11회에서 1회로 줄었고, 정책은 단계별 100%, 100%, 100%, 연속 96%였다. 같은 정책을 장면 200개로 늘려 평가하면(CPU 추론) 단계별 100.0%, 100.0%, 99.5%, 연속 99.0%(95% CI 96.4–99.7%)로, 팀의 원래 조건인 단계별 시연 100회만으로 연속 성공률 95% 이상을 신뢰구간 하한까지 확인하였다. 남은 실패 2건은 옆 단계에서 통을 집지 못해 통이 저울에 그대로 남은 경우였으므로, 저울을 다시 읽어 같은 단계를 재실행하게 하자 연속 100%(200/200, 95% CI 98.1–100%)가 되었다.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61948"/>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76194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시연 수에 따른 적재 성공률 (④ 시연)</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늘리면 연속 성공률은 92%, [  ]%, [  ]%였다(그림 4). 시연 잡음을 주입한 DART 정책은 같은 1000회에서 연속 [  ]%였다. 저울을 다시 읽어 통이 그대로 있으면 집기 실패로 보고 같은 단계를 다시 실행하게 하면(최대 3회), ② 시연 100회 정책의 연속 성공률은 58%에서 74%로, ④ 시연 1000회 정책은 [  ]%에서 [  ]%로 높아졌다. 적재 1회는 정책 실행 9초와 홈 복귀 1초로 약 10초가 걸린다. 행동 청크(100스텝, 3.3초)마다 한 번만 추론하므로 스텝당 평균 추론 시간은 GTX 1080 Ti에서 2.7ms, CPU 2스레드에서 4.4ms로 (다른 학습과 장치를 함께 쓴 상태의 값으로 상한에 해당) 제어 주기(33ms)보다 충분히 짧았다. 무게 분류 정분류율(91.7%)을 곱한 공정 전체 성공률은 ④ 시연 1000회 기준 약 [  ]%이다. 모방학습 성능이 시연 수보다 시연의 다양성과 일관성에 좌우된다는 보고[16]와 같이, 시연 수를 늘리는 것만으로는 시연 설계의 효과를 대신하기 어렵다.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96666"/>
            <wp:docPr id="105" name="Figure 5"/>
            <a:graphic>
              <a:graphicData uri="http://schemas.openxmlformats.org/drawingml/2006/picture">
                <pic:pic>
                  <pic:nvPicPr>
                    <pic:cNvPr id="105" name="fig5.png"/>
                    <pic:cNvPicPr/>
                  </pic:nvPicPr>
                  <pic:blipFill>
                    <a:blip r:embed="rIdFig5"/>
                    <a:stretch>
                      <a:fillRect/>
                    </a:stretch>
                  </pic:blipFill>
                  <pic:spPr>
                    <a:xfrm>
                      <a:off x="0" y="0"/>
                      <a:ext cx="2793333" cy="139666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5. ACT 정책의 연속 적재 장면</w:t>
      </w:r>
    </w:p>
    <w:p>
      <w:pPr>
        <w:pStyle w:val="a3"/>
        <w:keepNext/>
        <w:wordWrap/>
        <w:spacing w:before="60" w:after="0" w:line="288" w:lineRule="auto"/>
        <w:jc w:val="left"/>
      </w:pPr>
      <w:r>
        <w:rPr>
          <w:rFonts w:ascii="HY신명조" w:eastAsia="HY신명조" w:hAnsi="HY신명조" w:hint="eastAsia"/>
          <w:sz w:val="20"/>
          <w:szCs w:val="20"/>
        </w:rPr>
        <w:t xml:space="preserve">4.3 환경 변화에 대한 강인성 (시뮬레이션)</w:t>
      </w:r>
    </w:p>
    <w:p>
      <w:pPr>
        <w:pStyle w:val="a3"/>
        <w:wordWrap/>
        <w:spacing w:before="0" w:after="0" w:line="288" w:lineRule="auto"/>
        <w:ind w:firstLine="180"/>
        <w:jc w:val="both"/>
      </w:pPr>
      <w:r>
        <w:rPr>
          <w:rFonts w:ascii="HY신명조" w:eastAsia="HY신명조" w:hAnsi="HY신명조" w:hint="eastAsia"/>
          <w:sz w:val="18"/>
          <w:szCs w:val="18"/>
        </w:rPr>
        <w:t xml:space="preserve">학습이 끝난 정책을 그대로 두고 조명(어둡게 50%, 밝게 160%, 옆 조명), 작업대 색(회색, 짙은 갈색), 카메라 장착(상단 10mm·2°, 손목 3mm·2°), 주변 물건, 학습 범위 밖의 통 위치(22~28mm)·방향(22~30°), 아래 통의 어긋남(10~14mm), 통 무게(100g, 200g), 관측 지연(67ms, 133ms) 중 하나씩만 바꾸어 단계별로 20회씩 평가하였다(표 4). 기존 시연 1000회 정책은 변화 조건 평균 [  ]%(최저 [  ]%)였으나, 도메인 랜덤화 시연으로 학습하면 [  ]%, 밝기 정규화·CLAHE를 더하면 [  ]%(최저 [  ]%)였다. 어둡게 한 조건에서는 각각 [  ]%, [  ]%, [  ]%였다.</w:t>
      </w:r>
    </w:p>
    <w:p>
      <w:pPr>
        <w:pStyle w:val="a3"/>
        <w:keepNext/>
        <w:wordWrap/>
        <w:spacing w:before="80" w:after="40" w:line="264" w:lineRule="auto"/>
        <w:jc w:val="center"/>
      </w:pPr>
      <w:r>
        <w:rPr>
          <w:rFonts w:ascii="HY신명조" w:eastAsia="HY신명조" w:hAnsi="HY신명조" w:hint="eastAsia"/>
          <w:sz w:val="17"/>
          <w:szCs w:val="17"/>
        </w:rPr>
        <w:t xml:space="preserve">표 4. 환경 변화별 단계 평균 성공률 (%, 각 20회)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26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변화</w:t>
            </w:r>
          </w:p>
        </w:tc>
        <w:tc>
          <w:tcPr>
            <w:tcW w:w="26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③/100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조명 (어둡게·밝게·옆)</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작업대 색 (회색·짙은 갈색)</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52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주변 물건</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60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카메라 장착 틀어짐</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범위 밖 위치·방향·아래 통</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통 무게 100·200g</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관측 지연 67·133ms</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무작위화 범위 밖 (조명 30·220%, 주황빛, 체크무늬)</w:t>
            </w:r>
          </w:p>
        </w:tc>
        <w:tc>
          <w:tcPr>
            <w:tcW w:w="260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일관성)에 있음을 파지 위치와 장면 분석으로 밝혀 시연 100회의 연속 성공률을 28%에서 82%로 높였다.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[17]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[18]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