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and a rectangular box (56% to 100%), and with demonstrations recorded in a randomized factory cell one policy per stage stacked three objects in two layouts with 57%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R2,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56→100%였다. 학습 전에 계산한 빈 구간이 학습 뒤 성공률의 차이를 미리 보여 준 것이다. 컵의 R2 실패는 대부분 놓는 위치 오차였으며, R2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300"/>
        <w:gridCol w:w="640"/>
        <w:gridCol w:w="640"/>
        <w:gridCol w:w="640"/>
        <w:gridCol w:w="640"/>
        <w:gridCol w:w="640"/>
      </w:tblGrid>
      <w:tr>
        <w:trPr>
          <w:cantSplit/>
        </w:trPr>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68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44%였고, 공장형 장면의 시연을 단계당 300회 더하자(+공장) 68%가 되었다. 세 물체·두 배치·공장형 장면을 섞은 시연 1800회로 단계별 정책 하나를 80k 스텝 학습한 통합 정책은 공장형 환경에서 6가지 조합 평균 57%(최저 8%), 외관까지 무작위화하면 47%였다. 실패는 대부분 물건에 부딪힌 것이 아니라 통을 놓는 위치가 어긋난 경우였다. 환경의 변화 역시 시연에 담아야 정책이 따라갔다.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회복되었다(공장형 환경도 같음).</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되었다(8칸 연속 65%).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