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Locating where the policy closed the gripper revealed two causes in the demonstration design rather than in the policy: the fixed jaw approached too close to the bin wall, and the scripted demonstrator switched to another wall when the bin was rotated by more than about 8 degrees, which made the demonstrations bimodal. A 9 mm grasp clearance and a single grasp wall raised the sequence success with the same 100 demonstrations to 82%, and 1000 demonstrations reached [  ]% ([  ]% with DART noise injection).</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시연은 270스텝(9초)이며 성공한 것만 남겼다(전문가 성공률 1층 100%, 옆 96%, 2층 99%).</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또한 영상의 밝기 채널을 1~99 백분위수 기준으로 늘여 맞춘 뒤 CLAHE[18]를 적용하는 전처리를 학습과 실행에 함께 썼다. CLAHE만으로는 조명을 절반으로 줄였을 때의 영상 변화가 8% 줄었으나, 밝기 정규화를 먼저 하면 약 1/5로 줄었다.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2.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3. 적재 성공률 (%, 시뮬레이션, 각 50회)</w:t>
      </w:r>
    </w:p>
    <w:tbl>
      <w:tblPr>
        <w:tblW w:w="4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050"/>
        <w:gridCol w:w="560"/>
        <w:gridCol w:w="560"/>
        <w:gridCol w:w="560"/>
        <w:gridCol w:w="620"/>
      </w:tblGrid>
      <w:tr>
        <w:trPr>
          <w:cantSplit/>
        </w:trPr>
        <w:tc>
          <w:tcPr>
            <w:tcW w:w="20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 수</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56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62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1.5mm, 로봇 쪽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28</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9mm, 로봇 쪽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9mm, 로봇 쪽 벽 / 200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여유 9mm, 같은 벽 / 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200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500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1000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DART / 200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2050" w:type="dxa"/>
            <w:vAlign w:val="center"/>
          </w:tcPr>
          <w:p>
            <w:pPr>
              <w:pStyle w:val="a3"/>
              <w:spacing w:before="10" w:after="10" w:line="240" w:lineRule="auto"/>
              <w:jc w:val="center"/>
            </w:pPr>
            <w:r>
              <w:rPr>
                <w:rFonts w:ascii="HY신명조" w:eastAsia="HY신명조" w:hAnsi="HY신명조" w:hint="eastAsia"/>
                <w:sz w:val="15"/>
                <w:szCs w:val="15"/>
              </w:rPr>
              <w:t xml:space="preserve">같은 벽 + DART / 1000</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56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2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3은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경우였다. 파지 여유를 9mm로 둔 시연으로 같은 100회를 학습하면 단계별 90%, 88%, 72%, 연속 62%로 높아졌다. 남은 실패 25건 중 24건은 저울 위 통이 +7.5° 넘게 돌아간 시행에서 일어났다(그림 4). 이 구간의 실패율은 49%, 나머지는 1%로, 전문가가 잡는 벽을 바꾸는 구간과 일치한다. 이때 정책은 앞벽과 옆벽 시연의 중간인 모서리 쪽으로 가서 집게를 벽 위에 얹은 채 닫았다. 같은 설계로 시연을 200회로 늘리면 연속 성공률은 오히려 36%로 낮아졌고, 이 구간의 실패가 24건에서 32건으로 늘었다. 늘 같은 벽을 잡는 시연으로 바꾸자 같은 100회에서 단계별 100%, 100%, 86%, 연속 82%였다.</w:t>
      </w:r>
    </w:p>
    <w:p>
      <w:pPr>
        <w:pStyle w:val="a3"/>
        <w:wordWrap/>
        <w:spacing w:before="0" w:after="0" w:line="288" w:lineRule="auto"/>
        <w:ind w:firstLine="180"/>
        <w:jc w:val="both"/>
      </w:pPr>
      <w:r>
        <w:rPr>
          <w:rFonts w:ascii="HY신명조" w:eastAsia="HY신명조" w:hAnsi="HY신명조" w:hint="eastAsia"/>
          <w:sz w:val="18"/>
          <w:szCs w:val="18"/>
        </w:rPr>
        <w:t xml:space="preserve">같은 벽 시연을 200, 500, 1000회로 늘리면 연속 성공률은 [  ]%, [  ]%, [  ]%였다. 시연 잡음을 주입한 DART 정책은 같은 1000회에서 단계별 [  ]%, [  ]%, [  ]%, 연속 [  ]%였고, 200회에서는 연속 [  ]%(일반 200회 [  ]%)였다. 모방학습 성능이 시연 수보다 시연의 다양성과 일관성에 좌우된다는 보고[16]와 같이, 시연 수를 늘리는 것만으로는 시연 설계의 효과를 대신하기 어렵다.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5" name="Figure 5"/>
            <a:graphic>
              <a:graphicData uri="http://schemas.openxmlformats.org/drawingml/2006/picture">
                <pic:pic>
                  <pic:nvPicPr>
                    <pic:cNvPr id="105" name="fig5.png"/>
                    <pic:cNvPicPr/>
                  </pic:nvPicPr>
                  <pic:blipFill>
                    <a:blip r:embed="rIdFig5"/>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