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(20 to 46%) and a rectangular box (56 to 100%). With domain randomization and a cluttered factory cell (conveyor, racks, posts, overhead cables in the camera view, parts close to the arm's path), one policy per stage stacked all three objects in two cell layouts with 59%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주황 사람식, 파랑 R2)</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시연(①)은 단계별 76%, 84%, 50%였으나 앞 단계 오차가 넘어가 연속 28%에 그쳤다. R1로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R2를 적용하자 빈 구간이 1.5°로 사라지고 집기 실패가 없어졌으며(③, 연속 82%), R3까지 적용한 ④는 연속 96%, 장면 200개에서 99.0%(95% CI 96.4–99.7%)(평균 위치 오차 3.6, 4.4, 5.9mm)였다. ④의 시연을 1000회로 늘리거나 DART[8] 잡음을 넣어도 94%, 96%로 나아지지 않아, 시연 수가 시연 설계를 대신하지 못했다[15]. 남은 실패는 통을 집지 못해 저울에 남은 경우였으며, 무게 확인 재시도로 첫 시도 198/200에서 200/200이 되었다. 영상을 가리면 0/10으로 정책은 영상에서 통을 찾아 움직였고, 카메라를 하나만 쓰면 상단만 96%, 손목만 70%로 상단 카메라가 핵심이었다.</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R2로는 늘 손잡이 오른쪽 면을 잡는다. 직사각형 상자(90×60mm)는 로봇 쪽 벽을 잡으면 긴 벽과 짧은 벽이 바뀌어 놓인 방향까지 달라지며, R2로는 늘 같은 짧은 벽을 잡는다. 두 설계 모두 R1·R3은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R2,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R2로 고치면 빈 구간이 사라지며 연속 성공률이 올랐다. 점검 지표가 학습 전에 실패할 시연을 가려낸 것이다. 컵은 R2에서도 놓는 위치 오차가 남았으나 (실패의 대부분), R2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환경별 연속 성공률 (%, 통, 각 50회). ④: 규칙 시연 100회, +무작위: 외관 무작위화, +잡동: 잡동사니 시연, +공장: 공장형 시연, 통합: 세 물체 정책</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100"/>
        <w:gridCol w:w="680"/>
        <w:gridCol w:w="680"/>
        <w:gridCol w:w="680"/>
        <w:gridCol w:w="680"/>
        <w:gridCol w:w="680"/>
      </w:tblGrid>
      <w:tr>
        <w:trPr>
          <w:cantSplit/>
        </w:trPr>
        <w:tc>
          <w:tcPr>
            <w:tcW w:w="11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+공장</w:t>
            </w:r>
          </w:p>
        </w:tc>
        <w:tc>
          <w:tcPr>
            <w:tcW w:w="68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1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46</w:t>
            </w:r>
          </w:p>
        </w:tc>
        <w:tc>
          <w:tcPr>
            <w:tcW w:w="680" w:type="dxa"/>
            <w:vAlign w:val="center"/>
          </w:tcPr>
          <w:p>
            <w:pPr>
              <w:pStyle w:val="a3"/>
              <w:spacing w:before="10" w:after="10" w:line="240" w:lineRule="auto"/>
              <w:jc w:val="center"/>
            </w:pPr>
            <w:r>
              <w:rPr>
                <w:rFonts w:ascii="HY신명조" w:eastAsia="HY신명조" w:hAnsi="HY신명조" w:hint="eastAsia"/>
                <w:sz w:val="15"/>
                <w:szCs w:val="15"/>
              </w:rPr>
              <w:t xml:space="preserve">64</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④는 잡동사니 전부에서 0%로 떨어졌고, 잡동사니를 넣은 시연(+잡동사니, 1000회)은 88%였으나 공장형에서는 44%였고, 여기에 공장형 장면의 시연을 단계당 500회 더하자(+공장) 82%가 되었다. 세 물체·두 배치·공장형 환경을 섞은 시연 1800회로 단계별 정책 하나를 120k 스텝 학습한 통합 정책은 공장형 환경에서 6가지 물체·배치 조합 평균 59%(최저 12%), 외관까지 무작위화하면 53%였다.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200/200으로 높였다. 규칙은 손잡이 컵과 직사각형 상자에도 통했으며, 공장형 잡동사니 환경에서도 단계별 정책 하나로 세 물체·두 배치를 적재하였다.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