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57%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R2,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 컵은 R2에서도 놓는 위치 오차가 남았으나 (실패의 대부분), R2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300"/>
        <w:gridCol w:w="640"/>
        <w:gridCol w:w="640"/>
        <w:gridCol w:w="640"/>
        <w:gridCol w:w="640"/>
        <w:gridCol w:w="640"/>
      </w:tblGrid>
      <w:tr>
        <w:trPr>
          <w:cantSplit/>
        </w:trPr>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88%였으나 공장형에서는 44%였고, 여기에 공장형 장면의 시연을 단계당 500회 더하자(+공장) 82%가 되었다. 세 물체·두 배치·공장형 환경을 섞은 시연 1800회로 단계별 정책 하나를 80k 스텝 학습한 통합 정책은 공장형 환경에서 6가지 물체·배치 조합 평균 57%(최저 8%), 외관까지 무작위화하면 47%였다.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