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160"/>
      </w:pPr>
      <w:r>
        <w:rPr>
          <w:rFonts w:ascii="Apple SD Gothic Neo" w:hAnsi="Apple SD Gothic Neo" w:eastAsia="Apple SD Gothic Neo"/>
          <w:b/>
          <w:color w:val="1F4E79"/>
          <w:sz w:val="54"/>
        </w:rPr>
        <w:t>IPO 상장일 수익률</w:t>
        <w:br/>
        <w:t>예측 서비스 계획서</w:t>
      </w:r>
    </w:p>
    <w:p>
      <w:pPr>
        <w:spacing w:after="400"/>
      </w:pPr>
      <w:r>
        <w:rPr>
          <w:rFonts w:ascii="Apple SD Gothic Neo" w:hAnsi="Apple SD Gothic Neo" w:eastAsia="Apple SD Gothic Neo"/>
          <w:color w:val="667085"/>
          <w:sz w:val="26"/>
        </w:rPr>
        <w:t>상장 전 데이터 기반 시초가·종가 예측, 상장 후 성능 검증 및 운영 자동화 기준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결정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예측 시점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공모가와 수요예측 결과가 확정된 뒤, 상장 전</w:t>
            </w:r>
          </w:p>
        </w:tc>
      </w:tr>
      <w:tr>
        <w:tc>
          <w:tcPr>
            <w:tcW w:type="dxa" w:w="22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예측 대상</w:t>
            </w:r>
          </w:p>
        </w:tc>
        <w:tc>
          <w:tcPr>
            <w:tcW w:type="dxa" w:w="71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시초가 수익률과 KRX 정규장 종가 수익률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실측 확정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상장일 21:00 KST</w:t>
            </w:r>
          </w:p>
        </w:tc>
      </w:tr>
      <w:tr>
        <w:tc>
          <w:tcPr>
            <w:tcW w:type="dxa" w:w="22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재학습</w:t>
            </w:r>
          </w:p>
        </w:tc>
        <w:tc>
          <w:tcPr>
            <w:tcW w:type="dxa" w:w="71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신규 실측 10건 또는 월 1회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모델 승격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시계열 백테스트 성능이 기존 모델보다 개선된 경우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</w:tcPr>
          <w:p>
            <w:pPr>
              <w:spacing w:after="40"/>
            </w:pPr>
            <w:r/>
            <w:r>
              <w:rPr>
                <w:rFonts w:ascii="Apple SD Gothic Neo" w:hAnsi="Apple SD Gothic Neo" w:eastAsia="Apple SD Gothic Neo"/>
                <w:b/>
                <w:color w:val="1F4E79"/>
                <w:sz w:val="21"/>
              </w:rPr>
              <w:t xml:space="preserve">서비스 원칙  </w:t>
            </w:r>
            <w:r>
              <w:rPr>
                <w:rFonts w:ascii="Apple SD Gothic Neo" w:hAnsi="Apple SD Gothic Neo" w:eastAsia="Apple SD Gothic Neo"/>
                <w:color w:val="1F2937"/>
                <w:sz w:val="21"/>
              </w:rPr>
              <w:t>이 서비스는 투자 조언이나 수익 보장이 아니다. 실제 과거 IPO 데이터 검증 전에는 데모 성능을 제품 성능처럼 제시하지 않는다.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1. 서비스 목표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공모주 상장 전에 확보 가능한 정량 정보로 상장일 가격 흐름을 예측하고, 상장 당일 실제 결과를 예측 기록과 연결해 모델의 신뢰도를 높이는 분석 서비스다.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서비스가 답하는 두 질문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140"/>
        <w:gridCol w:w="2020"/>
        <w:gridCol w:w="3200"/>
      </w:tblGrid>
      <w:tr>
        <w:tc>
          <w:tcPr>
            <w:tcW w:type="dxa" w:w="4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20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타깃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계산 기준</w:t>
            </w:r>
          </w:p>
        </w:tc>
      </w:tr>
      <w:tr>
        <w:tc>
          <w:tcPr>
            <w:tcW w:type="dxa" w:w="41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9시 시초가가 공모가 대비 얼마나 움직일까?</w:t>
            </w:r>
          </w:p>
        </w:tc>
        <w:tc>
          <w:tcPr>
            <w:tcW w:type="dxa" w:w="20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open_return_pct</w:t>
            </w:r>
          </w:p>
        </w:tc>
        <w:tc>
          <w:tcPr>
            <w:tcW w:type="dxa" w:w="32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(시초가 / 확정 공모가 - 1) x 100</w:t>
            </w:r>
          </w:p>
        </w:tc>
      </w:tr>
      <w:tr>
        <w:tc>
          <w:tcPr>
            <w:tcW w:type="dxa" w:w="41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상장일 공식 종가가 공모가 대비 얼마나 움직일까?</w:t>
            </w:r>
          </w:p>
        </w:tc>
        <w:tc>
          <w:tcPr>
            <w:tcW w:type="dxa" w:w="20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close_return_pct</w:t>
            </w:r>
          </w:p>
        </w:tc>
        <w:tc>
          <w:tcPr>
            <w:tcW w:type="dxa" w:w="32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(KRX 종가 / 확정 공모가 - 1) x 100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종가 타깃은 KRX 공식 종가로 고정한다. NXT 애프터마켓 가격은 해당 종목이 체결대상인 경우 별도 관측값으로 기록하며, 공식 종가 수익률 타깃에 혼합하지 않는다.</w:t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2. 사용자와 운영 흐름</w:t>
      </w:r>
    </w:p>
    <w:p>
      <w:pPr>
        <w:pStyle w:val="ListNumber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IPO 일정을 등록하고 종목 상태를 scheduled로 생성한다.</w:t>
      </w:r>
    </w:p>
    <w:p>
      <w:pPr>
        <w:pStyle w:val="ListNumber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증권신고서와 수요예측 결과를 수집하고, 원문·추출값·공시일·누락 사유를 저장한다.</w:t>
      </w:r>
    </w:p>
    <w:p>
      <w:pPr>
        <w:pStyle w:val="ListNumber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공모가와 필수 피처가 확정되면 ready_for_prediction 상태로 바꾸고 두 모델의 예측을 생성한다.</w:t>
      </w:r>
    </w:p>
    <w:p>
      <w:pPr>
        <w:pStyle w:val="ListNumber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앱과 API는 시초가·종가 예측, 상승 확률, 신뢰구간, 위험등급, 주요 입력 요인을 제공한다.</w:t>
      </w:r>
    </w:p>
    <w:p>
      <w:pPr>
        <w:pStyle w:val="ListNumber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상장일 21:00 KST에 KRX 시초가·종가와 NXT 체결대상 여부를 수집해 예측과 비교한다.</w:t>
      </w:r>
    </w:p>
    <w:p>
      <w:pPr>
        <w:pStyle w:val="ListNumber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실측 누적 조건이 충족되면 후보 모델을 평가하고, 개선된 모델만 운영 모델로 승격한다.</w:t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3. 데이터 설계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상장 전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3020"/>
        <w:gridCol w:w="2460"/>
        <w:gridCol w:w="2620"/>
      </w:tblGrid>
      <w:tr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범주</w:t>
            </w:r>
          </w:p>
        </w:tc>
        <w:tc>
          <w:tcPr>
            <w:tcW w:type="dxa" w:w="30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활용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현황</w:t>
            </w:r>
          </w:p>
        </w:tc>
      </w:tr>
      <w:tr>
        <w:tc>
          <w:tcPr>
            <w:tcW w:type="dxa" w:w="12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일정</w:t>
            </w:r>
          </w:p>
        </w:tc>
        <w:tc>
          <w:tcPr>
            <w:tcW w:type="dxa" w:w="30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상장일·시장구분·종목코드</w:t>
            </w:r>
          </w:p>
        </w:tc>
        <w:tc>
          <w:tcPr>
            <w:tcW w:type="dxa" w:w="24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예측 대상 생성</w:t>
            </w:r>
          </w:p>
        </w:tc>
        <w:tc>
          <w:tcPr>
            <w:tcW w:type="dxa" w:w="26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실제 수집 필요</w:t>
            </w:r>
          </w:p>
        </w:tc>
      </w:tr>
      <w:tr>
        <w:tc>
          <w:tcPr>
            <w:tcW w:type="dxa" w:w="12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공모</w:t>
            </w:r>
          </w:p>
        </w:tc>
        <w:tc>
          <w:tcPr>
            <w:tcW w:type="dxa" w:w="30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밴드·확정가·신주·구주·상장 후 주식수</w:t>
            </w:r>
          </w:p>
        </w:tc>
        <w:tc>
          <w:tcPr>
            <w:tcW w:type="dxa" w:w="24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공급·밴드 피처</w:t>
            </w:r>
          </w:p>
        </w:tc>
        <w:tc>
          <w:tcPr>
            <w:tcW w:type="dxa" w:w="26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DART 파서 일부</w:t>
            </w:r>
          </w:p>
        </w:tc>
      </w:tr>
      <w:tr>
        <w:tc>
          <w:tcPr>
            <w:tcW w:type="dxa" w:w="12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수요</w:t>
            </w:r>
          </w:p>
        </w:tc>
        <w:tc>
          <w:tcPr>
            <w:tcW w:type="dxa" w:w="30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기관 경쟁률·의무확약·일반청약 경쟁률</w:t>
            </w:r>
          </w:p>
        </w:tc>
        <w:tc>
          <w:tcPr>
            <w:tcW w:type="dxa" w:w="24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수요 피처</w:t>
            </w:r>
          </w:p>
        </w:tc>
        <w:tc>
          <w:tcPr>
            <w:tcW w:type="dxa" w:w="26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실제 연동 필요</w:t>
            </w:r>
          </w:p>
        </w:tc>
      </w:tr>
      <w:tr>
        <w:tc>
          <w:tcPr>
            <w:tcW w:type="dxa" w:w="12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지배구조</w:t>
            </w:r>
          </w:p>
        </w:tc>
        <w:tc>
          <w:tcPr>
            <w:tcW w:type="dxa" w:w="30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최대주주 보호예수</w:t>
            </w:r>
          </w:p>
        </w:tc>
        <w:tc>
          <w:tcPr>
            <w:tcW w:type="dxa" w:w="24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매도 압력 피처</w:t>
            </w:r>
          </w:p>
        </w:tc>
        <w:tc>
          <w:tcPr>
            <w:tcW w:type="dxa" w:w="26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DART 파서 일부</w:t>
            </w:r>
          </w:p>
        </w:tc>
      </w:tr>
      <w:tr>
        <w:tc>
          <w:tcPr>
            <w:tcW w:type="dxa" w:w="12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재무</w:t>
            </w:r>
          </w:p>
        </w:tc>
        <w:tc>
          <w:tcPr>
            <w:tcW w:type="dxa" w:w="30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EPS·매출·영업이익·부채</w:t>
            </w:r>
          </w:p>
        </w:tc>
        <w:tc>
          <w:tcPr>
            <w:tcW w:type="dxa" w:w="24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밸류에이션·성장성</w:t>
            </w:r>
          </w:p>
        </w:tc>
        <w:tc>
          <w:tcPr>
            <w:tcW w:type="dxa" w:w="26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계산기 구현</w:t>
            </w:r>
          </w:p>
        </w:tc>
      </w:tr>
      <w:tr>
        <w:tc>
          <w:tcPr>
            <w:tcW w:type="dxa" w:w="12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시장</w:t>
            </w:r>
          </w:p>
        </w:tc>
        <w:tc>
          <w:tcPr>
            <w:tcW w:type="dxa" w:w="30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KOSPI/KOSDAQ·최근 IPO 성과</w:t>
            </w:r>
          </w:p>
        </w:tc>
        <w:tc>
          <w:tcPr>
            <w:tcW w:type="dxa" w:w="24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시장·섹터 온도</w:t>
            </w:r>
          </w:p>
        </w:tc>
        <w:tc>
          <w:tcPr>
            <w:tcW w:type="dxa" w:w="26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이력 수집 필요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상장 후 실측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KRX 시초가와 KRX 정규장 종가로 두 수익률 타깃을 확정한다.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NXT 체결대상 여부와 애프터마켓 마지막 체결가는 보조 분석값으로 저장한다.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예측 당시 모델 버전, 피처 스냅샷, 응답, 수집 원문을 함께 저장해 결과를 재현한다.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F8"/>
          </w:tcPr>
          <w:p>
            <w:pPr>
              <w:spacing w:after="40"/>
            </w:pPr>
            <w:r/>
            <w:r>
              <w:rPr>
                <w:rFonts w:ascii="Apple SD Gothic Neo" w:hAnsi="Apple SD Gothic Neo" w:eastAsia="Apple SD Gothic Neo"/>
                <w:b/>
                <w:color w:val="1F4E79"/>
                <w:sz w:val="21"/>
              </w:rPr>
              <w:t xml:space="preserve">데이터 품질 기준  </w:t>
            </w:r>
            <w:r>
              <w:rPr>
                <w:rFonts w:ascii="Apple SD Gothic Neo" w:hAnsi="Apple SD Gothic Neo" w:eastAsia="Apple SD Gothic Neo"/>
                <w:color w:val="1F2937"/>
                <w:sz w:val="21"/>
              </w:rPr>
              <w:t>공모가·상장일이 없으면 예측을 배포하지 않는다. 종목명 단독 병합을 피하고 법인코드·종목코드·공시번호·상장일을 함께 사용한다. 상장 후 정보는 상장 전 예측 피처에 사용하지 않는다.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4. 모델과 평가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현재 기준선은 scikit-learn GradientBoostingRegressor와 GradientBoostingClassifier다. 회귀 모델은 수익률을, 분류 모델은 상승 확률을 계산한다. 시초가와 종가는 별도 모델로 학습·저장·평가한다.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80"/>
        <w:gridCol w:w="2280"/>
        <w:gridCol w:w="4600"/>
      </w:tblGrid>
      <w:tr>
        <w:tc>
          <w:tcPr>
            <w:tcW w:type="dxa" w:w="2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운영 모델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타깃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출력</w:t>
            </w:r>
          </w:p>
        </w:tc>
      </w:tr>
      <w:tr>
        <w:tc>
          <w:tcPr>
            <w:tcW w:type="dxa" w:w="248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baseline_open_v1</w:t>
            </w:r>
          </w:p>
        </w:tc>
        <w:tc>
          <w:tcPr>
            <w:tcW w:type="dxa" w:w="228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open_return_pct</w:t>
            </w:r>
          </w:p>
        </w:tc>
        <w:tc>
          <w:tcPr>
            <w:tcW w:type="dxa" w:w="46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예측 수익률, 상승 확률, 50%·90% 신뢰구간, 위험등급</w:t>
            </w:r>
          </w:p>
        </w:tc>
      </w:tr>
      <w:tr>
        <w:tc>
          <w:tcPr>
            <w:tcW w:type="dxa" w:w="248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baseline_close_v1</w:t>
            </w:r>
          </w:p>
        </w:tc>
        <w:tc>
          <w:tcPr>
            <w:tcW w:type="dxa" w:w="228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close_return_pct</w:t>
            </w:r>
          </w:p>
        </w:tc>
        <w:tc>
          <w:tcPr>
            <w:tcW w:type="dxa" w:w="46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예측 수익률, 상승 확률, 50%·90% 신뢰구간, 위험등급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피처 구성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수요: 기관 수요예측 경쟁률, 일반청약 경쟁률, 기간별 의무보유확약과 가중점수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공모 구조: 공모가 밴드 위치, 상단 초과 여부, 신주·구주매출 비율, 유통 가능 비율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시장·기업: 시장 모멘텀, 최근 IPO 수익률, 주관사, 위험요소, 밸류에이션, 재무 성장성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검증과 승격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일반 K-Fold 대신 과거로 학습하고 미래를 예측하는 Walk-forward 백테스트를 사용한다. MAE, 방향 정확도, 50%·90% 신뢰구간 커버리지, 연도·시장·섹터별 성능, 데이터 누락률을 각 타깃별로 기록한다.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후보 모델은 기존 운영 모델보다 MAE가 개선되고, 방향 정확도와 신뢰구간 품질이 현저히 나빠지지 않아야 한다. 기준선 모델과의 비교 결과 및 롤백 가능 모델 버전을 함께 보관한다.</w:t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5. 시스템 구조와 API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140"/>
        <w:gridCol w:w="372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계층</w:t>
            </w:r>
          </w:p>
        </w:tc>
        <w:tc>
          <w:tcPr>
            <w:tcW w:type="dxa" w:w="4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책임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현재 위치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수집</w:t>
            </w:r>
          </w:p>
        </w:tc>
        <w:tc>
          <w:tcPr>
            <w:tcW w:type="dxa" w:w="41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DART·KRX·IPO 일정·수요예측 데이터</w:t>
            </w:r>
          </w:p>
        </w:tc>
        <w:tc>
          <w:tcPr>
            <w:tcW w:type="dxa" w:w="37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data/collectors/</w:t>
            </w:r>
          </w:p>
        </w:tc>
      </w:tr>
      <w:tr>
        <w:tc>
          <w:tcPr>
            <w:tcW w:type="dxa" w:w="15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처리</w:t>
            </w:r>
          </w:p>
        </w:tc>
        <w:tc>
          <w:tcPr>
            <w:tcW w:type="dxa" w:w="41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병합, 표준화, 피처 생성, 결측 처리</w:t>
            </w:r>
          </w:p>
        </w:tc>
        <w:tc>
          <w:tcPr>
            <w:tcW w:type="dxa" w:w="37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data/processors/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저장</w:t>
            </w:r>
          </w:p>
        </w:tc>
        <w:tc>
          <w:tcPr>
            <w:tcW w:type="dxa" w:w="41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IPO·원문·피처·예측·실측</w:t>
            </w:r>
          </w:p>
        </w:tc>
        <w:tc>
          <w:tcPr>
            <w:tcW w:type="dxa" w:w="37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data/storage/database.py</w:t>
            </w:r>
          </w:p>
        </w:tc>
      </w:tr>
      <w:tr>
        <w:tc>
          <w:tcPr>
            <w:tcW w:type="dxa" w:w="15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모델</w:t>
            </w:r>
          </w:p>
        </w:tc>
        <w:tc>
          <w:tcPr>
            <w:tcW w:type="dxa" w:w="41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학습, 예측, 저장, 설명</w:t>
            </w:r>
          </w:p>
        </w:tc>
        <w:tc>
          <w:tcPr>
            <w:tcW w:type="dxa" w:w="37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models/baseline/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평가</w:t>
            </w:r>
          </w:p>
        </w:tc>
        <w:tc>
          <w:tcPr>
            <w:tcW w:type="dxa" w:w="41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Walk-forward, 아웃라이어 분석</w:t>
            </w:r>
          </w:p>
        </w:tc>
        <w:tc>
          <w:tcPr>
            <w:tcW w:type="dxa" w:w="37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models/evaluation/</w:t>
            </w:r>
          </w:p>
        </w:tc>
      </w:tr>
      <w:tr>
        <w:tc>
          <w:tcPr>
            <w:tcW w:type="dxa" w:w="15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서비스</w:t>
            </w:r>
          </w:p>
        </w:tc>
        <w:tc>
          <w:tcPr>
            <w:tcW w:type="dxa" w:w="41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단건·배치 예측 API</w:t>
            </w:r>
          </w:p>
        </w:tc>
        <w:tc>
          <w:tcPr>
            <w:tcW w:type="dxa" w:w="372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api/server.py</w:t>
            </w:r>
          </w:p>
        </w:tc>
      </w:tr>
      <w:tr>
        <w:tc>
          <w:tcPr>
            <w:tcW w:type="dxa" w:w="15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자동화</w:t>
            </w:r>
          </w:p>
        </w:tc>
        <w:tc>
          <w:tcPr>
            <w:tcW w:type="dxa" w:w="41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수집·실측·재학습 실행</w:t>
            </w:r>
          </w:p>
        </w:tc>
        <w:tc>
          <w:tcPr>
            <w:tcW w:type="dxa" w:w="372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미구현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API의 POST /predict 및 POST /predict/batch 응답은 opening과 closing 객체를 함께 반환한다. 앱은 예측값뿐 아니라 공모가 기준, 예측 생성 시각, 신뢰구간, 모델 버전, 데이터 누락 상태, 투자 유의 문구를 표시한다.</w:t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6. 운영 자동화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80"/>
        <w:gridCol w:w="2640"/>
        <w:gridCol w:w="5040"/>
      </w:tblGrid>
      <w:tr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작업</w:t>
            </w:r>
          </w:p>
        </w:tc>
        <w:tc>
          <w:tcPr>
            <w:tcW w:type="dxa" w:w="26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실행 기준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결과</w:t>
            </w:r>
          </w:p>
        </w:tc>
      </w:tr>
      <w:tr>
        <w:tc>
          <w:tcPr>
            <w:tcW w:type="dxa" w:w="168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일정 동기화</w:t>
            </w:r>
          </w:p>
        </w:tc>
        <w:tc>
          <w:tcPr>
            <w:tcW w:type="dxa" w:w="26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매 영업일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신규·변경 IPO 일정 반영</w:t>
            </w:r>
          </w:p>
        </w:tc>
      </w:tr>
      <w:tr>
        <w:tc>
          <w:tcPr>
            <w:tcW w:type="dxa" w:w="168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공시·수요 수집</w:t>
            </w:r>
          </w:p>
        </w:tc>
        <w:tc>
          <w:tcPr>
            <w:tcW w:type="dxa" w:w="26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일정 등록·공시 변경</w:t>
            </w:r>
          </w:p>
        </w:tc>
        <w:tc>
          <w:tcPr>
            <w:tcW w:type="dxa" w:w="50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원문, 추출값, 검증 결과 저장</w:t>
            </w:r>
          </w:p>
        </w:tc>
      </w:tr>
      <w:tr>
        <w:tc>
          <w:tcPr>
            <w:tcW w:type="dxa" w:w="168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상장 전 예측</w:t>
            </w:r>
          </w:p>
        </w:tc>
        <w:tc>
          <w:tcPr>
            <w:tcW w:type="dxa" w:w="26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필수 데이터 완료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Open/Close 예측과 피처 스냅샷 저장</w:t>
            </w:r>
          </w:p>
        </w:tc>
      </w:tr>
      <w:tr>
        <w:tc>
          <w:tcPr>
            <w:tcW w:type="dxa" w:w="168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실측 확정</w:t>
            </w:r>
          </w:p>
        </w:tc>
        <w:tc>
          <w:tcPr>
            <w:tcW w:type="dxa" w:w="26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상장일 21:00 KST</w:t>
            </w:r>
          </w:p>
        </w:tc>
        <w:tc>
          <w:tcPr>
            <w:tcW w:type="dxa" w:w="504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KRX 시초가·종가, NXT 체결대상, 성능 기록</w:t>
            </w:r>
          </w:p>
        </w:tc>
      </w:tr>
      <w:tr>
        <w:tc>
          <w:tcPr>
            <w:tcW w:type="dxa" w:w="168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재학습 평가</w:t>
            </w:r>
          </w:p>
        </w:tc>
        <w:tc>
          <w:tcPr>
            <w:tcW w:type="dxa" w:w="26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실측 10건 또는 월 1회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후보 모델 백테스트·승격·롤백 기록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자동화는 한국 휴장일과 상장일 변경을 고려해야 한다. 수집 실패 시 잘못된 값으로 덮어쓰지 않고 원문 URL, 응답 코드, 재시도 횟수, 마지막 오류를 남긴 뒤 운영자에게 알린다.</w:t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7. 구현 현황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이미 구현됨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Core·Phase 2 피처 정의와 데모 데이터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시초가·종가 타깃 계산, 분리 백테스트, 분리 모델 저장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opening·closing을 반환하는 예측 API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Walk-forward 백테스트와 아웃라이어 리포트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DART 공모 구조의 정규식 기반 초기 파서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21:00 KST 실측 확정 기준 설정값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출시 전 필수 작업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실제 과거 IPO 일정·공시·수요예측·가격 이력 수집 및 정합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실제 DART 원문으로 파서 정확도 검증과 예외 관리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21:00 KST KRX 실측·NXT 체결대상 확인 스케줄러 구현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예측 시점 피처 스냅샷과 모델 버전의 데이터베이스 영구 저장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실제 데이터 기반 성능 보고서와 모델 승격·롤백 절차 적용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인증, 요청 제한, 비밀키 관리, 모니터링을 갖춘 API와 앱 배포</w:t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8. 단계별 출시 계획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Phase A. 신뢰 가능한 이력 데이터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3년 이상 실제 IPO 이력 확보, 원문과 추출값·실측 가격 연결, 공모가·상장일·시초가·종가 정상 연결률 95% 이상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Phase B. 검증 가능한 모델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실제 Walk-forward 보고서 생성, 기준선 비교, 시장·섹터·연도별 성능과 미래 누수 점검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Phase C. 운영 자동화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일정·공시 변경 감지, 21:00 실측 확정, 후보 모델 승인·승격·롤백 이력 자동화</w:t>
      </w:r>
    </w:p>
    <w:p>
      <w:pPr>
        <w:pStyle w:val="Heading2"/>
        <w:keepNext/>
      </w:pPr>
      <w:r>
        <w:rPr>
          <w:rFonts w:ascii="Apple SD Gothic Neo" w:hAnsi="Apple SD Gothic Neo" w:eastAsia="Apple SD Gothic Neo"/>
          <w:b/>
          <w:color w:val="1F4E79"/>
          <w:sz w:val="26"/>
        </w:rPr>
        <w:t>Phase D. 사용자 서비스 출시</w:t>
      </w:r>
    </w:p>
    <w:p>
      <w:pPr>
        <w:spacing w:after="120"/>
      </w:pPr>
      <w:r>
        <w:rPr>
          <w:rFonts w:ascii="Apple SD Gothic Neo" w:hAnsi="Apple SD Gothic Neo" w:eastAsia="Apple SD Gothic Neo"/>
          <w:color w:val="1F2937"/>
          <w:sz w:val="21"/>
        </w:rPr>
        <w:t>일정·예측·결과 비교 화면, 데이터 출처·갱신 시각·누락 상태, 투자 유의 고지 제공</w:t>
      </w:r>
    </w:p>
    <w:p>
      <w:pPr>
        <w:pStyle w:val="Heading1"/>
        <w:keepNext/>
      </w:pPr>
      <w:r>
        <w:rPr>
          <w:rFonts w:ascii="Apple SD Gothic Neo" w:hAnsi="Apple SD Gothic Neo" w:eastAsia="Apple SD Gothic Neo"/>
          <w:b/>
          <w:color w:val="1F4E79"/>
          <w:sz w:val="32"/>
        </w:rPr>
        <w:t>9. 성공 지표와 핵심 원칙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E79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color w:val="FFFFFF"/>
                <w:sz w:val="19"/>
              </w:rPr>
              <w:t>핵심 지표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데이터</w:t>
            </w:r>
          </w:p>
        </w:tc>
        <w:tc>
          <w:tcPr>
            <w:tcW w:type="dxa" w:w="75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필수값 완결률, 공시 파서 성공률, 상장일 실측 수집 성공률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모델</w:t>
            </w:r>
          </w:p>
        </w:tc>
        <w:tc>
          <w:tcPr>
            <w:tcW w:type="dxa" w:w="75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실제 Walk-forward MAE, 방향 정확도, 신뢰구간 커버리지, 기준선 대비 개선폭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서비스</w:t>
            </w:r>
          </w:p>
        </w:tc>
        <w:tc>
          <w:tcPr>
            <w:tcW w:type="dxa" w:w="7560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예측 생성 성공률, 21:00 실측 확정 성공률, API 오류율과 응답시간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운영</w:t>
            </w:r>
          </w:p>
        </w:tc>
        <w:tc>
          <w:tcPr>
            <w:tcW w:type="dxa" w:w="7560"/>
            <w:shd w:fill="F2F4F7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color w:val="1F2937"/>
                <w:sz w:val="19"/>
              </w:rPr>
              <w:t>성능 하락 감지율, 롤백 가능성, 원문 기반 재현 가능 비율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상장 후 정보는 상장 전 예측에 사용하지 않는다.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시초가와 종가는 서로 다른 행동이므로 하나의 타깃으로 합치지 않는다.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원문, 추출값, 피처, 모델, 예측, 실측을 연결해 모든 결과를 재현한다.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/>
          <w:color w:val="1F2937"/>
          <w:sz w:val="21"/>
        </w:rPr>
        <w:t>자동화가 실패하면 보류 상태와 근거를 남기며, 임의값으로 결과를 확정하지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/>
        <w:color w:val="667085"/>
        <w:sz w:val="17"/>
      </w:rPr>
      <w:t xml:space="preserve">내부 계획서 |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ple SD Gothic Neo" w:hAnsi="Apple SD Gothic Neo" w:eastAsia="Apple SD Gothic Neo"/>
        <w:color w:val="667085"/>
        <w:sz w:val="17"/>
      </w:rPr>
      <w:t>IPO 상장일 수익률 예측 서비스 계획서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IPO 상장일 수익률 예측 서비스 계획서</dc:title>
  <dc:subject>서비스·데이터·모델·운영 자동화 계획</dc:subject>
  <dc:creator>IPO Predictor Project</dc:creator>
  <cp:keywords/>
  <dc:description>Generated project plan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