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Homework — Week 6</w:t>
      </w:r>
    </w:p>
    <w:p>
      <w:pPr>
        <w:jc w:val="center"/>
      </w:pPr>
      <w:r>
        <w:rPr>
          <w:i/>
          <w:sz w:val="24"/>
        </w:rPr>
        <w:t>Scientific Hypothesis Derived from 16S Microbiome Analysis of the IBS Before–After Cohort</w:t>
      </w:r>
    </w:p>
    <w:p>
      <w:r>
        <w:rPr>
          <w:b w:val="0"/>
          <w:i w:val="0"/>
        </w:rPr>
        <w:t>Student: He Yujie (贺羽婕)   |   Student ID: suat24000200</w:t>
      </w:r>
    </w:p>
    <w:p>
      <w:r>
        <w:rPr>
          <w:b w:val="0"/>
          <w:i w:val="0"/>
        </w:rPr>
        <w:t>Track: Microbiome 16S (m16s_course)  |  EMP-Web session: AT2U1iCTVh7OohClREX3VfgU</w:t>
      </w:r>
    </w:p>
    <w:p>
      <w:r>
        <w:rPr>
          <w:b w:val="0"/>
          <w:i w:val="0"/>
        </w:rPr>
        <w:t>Run id: 2026-09-24T07-34-26-751Z-b9xtjb</w:t>
      </w:r>
    </w:p>
    <w:p>
      <w:r>
        <w:rPr>
          <w:b w:val="0"/>
          <w:i w:val="0"/>
        </w:rPr>
        <w:t>Deadline: Sunday 23:59 (Week 5/6 submission window)</w:t>
      </w:r>
    </w:p>
    <w:p>
      <w:pPr>
        <w:pStyle w:val="Heading1"/>
      </w:pPr>
      <w:r>
        <w:rPr>
          <w:color w:val="1F4E79"/>
        </w:rPr>
        <w:t>Part 1 — Analysis Workflow (Recap)</w:t>
      </w:r>
    </w:p>
    <w:p>
      <w:r>
        <w:rPr>
          <w:b w:val="0"/>
          <w:i w:val="0"/>
        </w:rPr>
        <w:t>Per the assignment I used EMP-web on the two highlighted 16S files in the EMP-tests folder (16S_level-7.csv and 16S_mapping.csv) and ran the complete differential-abundance pipeline. The raw EMP run artefacts exported under EMP2026/Week_05/transcriptomics/weekly/runs/2026-09-24T07-34-26-751Z-b9xtjb/ are the evidence base for Part 2.</w:t>
      </w:r>
    </w:p>
    <w:p>
      <w:r>
        <w:rPr>
          <w:b w:val="0"/>
          <w:i w:val="0"/>
        </w:rPr>
        <w:t>The EMP-web API calls recorded in teaching/learning_trace.json show the exact procedure used:</w:t>
      </w:r>
    </w:p>
    <w:p>
      <w:pPr>
        <w:pStyle w:val="ListBullet"/>
      </w:pPr>
      <w:r>
        <w:t>/import/demo  → load 16S course demo snapshots</w:t>
      </w:r>
    </w:p>
    <w:p>
      <w:pPr>
        <w:pStyle w:val="ListBullet"/>
      </w:pPr>
      <w:r>
        <w:t>/clinical/vars_standalone  → resolve Group / Group_sub variables</w:t>
      </w:r>
    </w:p>
    <w:p>
      <w:pPr>
        <w:pStyle w:val="ListBullet"/>
      </w:pPr>
      <w:r>
        <w:t>/prepare/snapshots  → build the m16s_course experiment</w:t>
      </w:r>
    </w:p>
    <w:p>
      <w:pPr>
        <w:pStyle w:val="ListBullet"/>
      </w:pPr>
      <w:r>
        <w:t>/visualize/barplot  → stacked relative abundance by group</w:t>
      </w:r>
    </w:p>
    <w:p>
      <w:pPr>
        <w:pStyle w:val="ListBullet"/>
      </w:pPr>
      <w:r>
        <w:t>/analyze/alpha  → α-diversity indices per sample</w:t>
      </w:r>
    </w:p>
    <w:p>
      <w:pPr>
        <w:pStyle w:val="ListBullet"/>
      </w:pPr>
      <w:r>
        <w:t>/analyze/differential/async  → Wilcoxon rank-sum, IBS_before vs IBS_after (re-run for cross-check)</w:t>
      </w:r>
    </w:p>
    <w:p>
      <w:pPr>
        <w:pStyle w:val="ListBullet"/>
      </w:pPr>
      <w:r>
        <w:t>/visualize/boxplot, /heatmap, /deg_heatmap, /scatter, /structure, /alpha, /scatter_proj_x|y, /network, /sankey</w:t>
      </w:r>
    </w:p>
    <w:p>
      <w:pPr>
        <w:pStyle w:val="Heading1"/>
      </w:pPr>
      <w:r>
        <w:rPr>
          <w:color w:val="1F4E79"/>
        </w:rPr>
        <w:t>Part 2 — Scientific Hypothesis</w:t>
      </w:r>
    </w:p>
    <w:p>
      <w:pPr>
        <w:pStyle w:val="Heading2"/>
      </w:pPr>
      <w:r>
        <w:rPr>
          <w:color w:val="1F4E79"/>
        </w:rPr>
        <w:t>2.1 Data and Design</w:t>
      </w:r>
    </w:p>
    <w:p>
      <w:r>
        <w:rPr>
          <w:b w:val="0"/>
          <w:i w:val="0"/>
        </w:rPr>
        <w:t>The dataset is a paired before–after microbiome study: 72 stool 16S rRNA samples from 18 IBS patients, each sampled twice (sample-ID suffixes _01 / _02), giving a balanced 36 vs 36 layout.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Sub-group</w:t>
            </w:r>
          </w:p>
        </w:tc>
        <w:tc>
          <w:tcPr>
            <w:tcW w:type="dxa" w:w="2880"/>
          </w:tcPr>
          <w:p>
            <w:r>
              <w:t>n samples</w:t>
            </w:r>
          </w:p>
        </w:tc>
      </w:tr>
      <w:tr>
        <w:tc>
          <w:tcPr>
            <w:tcW w:type="dxa" w:w="2880"/>
          </w:tcPr>
          <w:p>
            <w:r>
              <w:t>IBS_before</w:t>
            </w:r>
          </w:p>
        </w:tc>
        <w:tc>
          <w:tcPr>
            <w:tcW w:type="dxa" w:w="2880"/>
          </w:tcPr>
          <w:p>
            <w:r>
              <w:t>IBS_before_poor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IBS_before</w:t>
            </w:r>
          </w:p>
        </w:tc>
        <w:tc>
          <w:tcPr>
            <w:tcW w:type="dxa" w:w="2880"/>
          </w:tcPr>
          <w:p>
            <w:r>
              <w:t>IBS_before_great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IBS_after</w:t>
            </w:r>
          </w:p>
        </w:tc>
        <w:tc>
          <w:tcPr>
            <w:tcW w:type="dxa" w:w="2880"/>
          </w:tcPr>
          <w:p>
            <w:r>
              <w:t>IBS_after_poor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IBS_after</w:t>
            </w:r>
          </w:p>
        </w:tc>
        <w:tc>
          <w:tcPr>
            <w:tcW w:type="dxa" w:w="2880"/>
          </w:tcPr>
          <w:p>
            <w:r>
              <w:t>IBS_after_great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</w:tbl>
    <w:p>
      <w:r>
        <w:rPr>
          <w:b w:val="0"/>
          <w:i w:val="0"/>
        </w:rPr>
        <w:t>The taxonomy table (16S_level-7.csv) provides 139 microbial features from phylum to genus. Because sample IDs come in matched _01 / _02 pairs from the same patient, the dataset is technically paired. EMP-web implemented the differential test as a non-paired Wilcoxon rank-sum, so I treat its p-values as a screening tool and rely on log2FC direction rather than on any single feature crossing the multiple-testing threshold.</w:t>
      </w:r>
    </w:p>
    <w:p>
      <w:pPr>
        <w:pStyle w:val="Heading2"/>
      </w:pPr>
      <w:r>
        <w:rPr>
          <w:color w:val="1F4E79"/>
        </w:rPr>
        <w:t>2.2 Hypothesis Statement</w:t>
      </w:r>
    </w:p>
    <w:p>
      <w:r>
        <w:rPr>
          <w:b/>
          <w:i w:val="0"/>
        </w:rPr>
      </w:r>
      <w:r>
        <w:rPr>
          <w:b/>
        </w:rPr>
        <w:t>After the therapeutic intervention the IBS-patient gut microbiome shifts away from an opportunistic / pro-inflammatory configuration and towards a more commensal / symbiotic configuration, and the magnitude — and possibly the direction — of that shift depends on whether the patient is a clinical responder (great) or a non-responder (poor) to the therapy.</w:t>
      </w:r>
    </w:p>
    <w:p>
      <w:r>
        <w:rPr>
          <w:b w:val="0"/>
          <w:i w:val="0"/>
        </w:rPr>
        <w:t>Operationalised, this becomes three testable sub-hypotheses:</w:t>
      </w:r>
    </w:p>
    <w:p>
      <w:pPr>
        <w:pStyle w:val="ListNumber"/>
      </w:pPr>
      <w:r>
        <w:rPr>
          <w:b/>
        </w:rPr>
        <w:t>H1 (compositional shift).</w:t>
      </w:r>
      <w:r>
        <w:t xml:space="preserve"> Pro-inflammatory / mucin-degrading taxa — Fusobacteriaceae, Desulfovibrionales and Bacteroides — are enriched before the intervention and depleted after; commensal taxa — Lactobacillaceae, Bifidobacteriaceae, Coriobacteriia and Verrucomicrobiae — are enriched after.</w:t>
      </w:r>
    </w:p>
    <w:p>
      <w:pPr>
        <w:pStyle w:val="ListNumber"/>
      </w:pPr>
      <w:r>
        <w:rPr>
          <w:b/>
        </w:rPr>
        <w:t>H2 (no wholesale diversity loss).</w:t>
      </w:r>
      <w:r>
        <w:t xml:space="preserve"> α-diversity indices (Shannon, Simpson, invSimpson, observed, Chao1, ACE) do not collapse after treatment; the change is mainly in composition, not in richness.</w:t>
      </w:r>
    </w:p>
    <w:p>
      <w:pPr>
        <w:pStyle w:val="ListNumber"/>
      </w:pPr>
      <w:r>
        <w:rPr>
          <w:b/>
        </w:rPr>
        <w:t>H3 (responder stratification).</w:t>
      </w:r>
      <w:r>
        <w:t xml:space="preserve"> Patients stratified as IBS_after_great show a distinctly different post-treatment community (and α-diversity signature) from IBS_after_poor, suggesting the microbiome reorganisation is a substrate of clinical response, not a generic side-effect of the therapy.</w:t>
      </w:r>
    </w:p>
    <w:p>
      <w:pPr>
        <w:pStyle w:val="Heading2"/>
      </w:pPr>
      <w:r>
        <w:rPr>
          <w:color w:val="1F4E79"/>
        </w:rPr>
        <w:t>2.3 Parameters from the EMP Run Used to Support Each Sub-Hypothesis</w:t>
      </w:r>
    </w:p>
    <w:p>
      <w:r>
        <w:rPr>
          <w:b w:val="0"/>
          <w:i w:val="0"/>
        </w:rPr>
        <w:t>All parameters below are taken verbatim from the EMP-web run artefacts results/m16s_course_diff_analysis.csv and results/m16s_course_alpha.csv. Every claim is anchored to a specific column or statistic in those files.</w:t>
      </w:r>
    </w:p>
    <w:p>
      <w:r>
        <w:rPr>
          <w:b w:val="0"/>
          <w:i/>
        </w:rPr>
        <w:t>Table A — Features with raw p &lt; 0.05 in the Wilcoxon rank-sum comparison (IBS_before vs IBS_after).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Feature (level-7)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FDR (BH)</w:t>
            </w:r>
          </w:p>
        </w:tc>
        <w:tc>
          <w:tcPr>
            <w:tcW w:type="dxa" w:w="1440"/>
          </w:tcPr>
          <w:p>
            <w:r>
              <w:t>log2FC (before→after) [enriched side]</w:t>
            </w:r>
          </w:p>
        </w:tc>
        <w:tc>
          <w:tcPr>
            <w:tcW w:type="dxa" w:w="1440"/>
          </w:tcPr>
          <w:p>
            <w:r>
              <w:t>Direction (sign_group)</w:t>
            </w:r>
          </w:p>
        </w:tc>
        <w:tc>
          <w:tcPr>
            <w:tcW w:type="dxa" w:w="1440"/>
          </w:tcPr>
          <w:p>
            <w:r>
              <w:t>Sub-hypothesis supported</w:t>
            </w:r>
          </w:p>
        </w:tc>
      </w:tr>
      <w:tr>
        <w:tc>
          <w:tcPr>
            <w:tcW w:type="dxa" w:w="1440"/>
          </w:tcPr>
          <w:p>
            <w:r>
              <w:t>p__Fusobacteria;…;f__Fusobacteriaceae</w:t>
            </w:r>
          </w:p>
        </w:tc>
        <w:tc>
          <w:tcPr>
            <w:tcW w:type="dxa" w:w="1440"/>
          </w:tcPr>
          <w:p>
            <w:r>
              <w:t>0.0086</w:t>
            </w:r>
          </w:p>
        </w:tc>
        <w:tc>
          <w:tcPr>
            <w:tcW w:type="dxa" w:w="1440"/>
          </w:tcPr>
          <w:p>
            <w:r>
              <w:t>0.298</w:t>
            </w:r>
          </w:p>
        </w:tc>
        <w:tc>
          <w:tcPr>
            <w:tcW w:type="dxa" w:w="1440"/>
          </w:tcPr>
          <w:p>
            <w:r>
              <w:t>+4.66</w:t>
            </w:r>
          </w:p>
        </w:tc>
        <w:tc>
          <w:tcPr>
            <w:tcW w:type="dxa" w:w="1440"/>
          </w:tcPr>
          <w:p>
            <w:r>
              <w:t>before</w:t>
            </w:r>
          </w:p>
        </w:tc>
        <w:tc>
          <w:tcPr>
            <w:tcW w:type="dxa" w:w="1440"/>
          </w:tcPr>
          <w:p>
            <w:r>
              <w:t>H1 — pro-inflammatory taxon enriched before.</w:t>
            </w:r>
          </w:p>
        </w:tc>
      </w:tr>
      <w:tr>
        <w:tc>
          <w:tcPr>
            <w:tcW w:type="dxa" w:w="1440"/>
          </w:tcPr>
          <w:p>
            <w:r>
              <w:t>p__Proteobacteria;…;f__Desulfovibrionales</w:t>
            </w:r>
          </w:p>
        </w:tc>
        <w:tc>
          <w:tcPr>
            <w:tcW w:type="dxa" w:w="1440"/>
          </w:tcPr>
          <w:p>
            <w:r>
              <w:t>0.0030</w:t>
            </w:r>
          </w:p>
        </w:tc>
        <w:tc>
          <w:tcPr>
            <w:tcW w:type="dxa" w:w="1440"/>
          </w:tcPr>
          <w:p>
            <w:r>
              <w:t>0.240</w:t>
            </w:r>
          </w:p>
        </w:tc>
        <w:tc>
          <w:tcPr>
            <w:tcW w:type="dxa" w:w="1440"/>
          </w:tcPr>
          <w:p>
            <w:r>
              <w:t>+2.88</w:t>
            </w:r>
          </w:p>
        </w:tc>
        <w:tc>
          <w:tcPr>
            <w:tcW w:type="dxa" w:w="1440"/>
          </w:tcPr>
          <w:p>
            <w:r>
              <w:t>before</w:t>
            </w:r>
          </w:p>
        </w:tc>
        <w:tc>
          <w:tcPr>
            <w:tcW w:type="dxa" w:w="1440"/>
          </w:tcPr>
          <w:p>
            <w:r>
              <w:t>H1 — H2S-producing pro-inflammatory taxon enriched before.</w:t>
            </w:r>
          </w:p>
        </w:tc>
      </w:tr>
      <w:tr>
        <w:tc>
          <w:tcPr>
            <w:tcW w:type="dxa" w:w="1440"/>
          </w:tcPr>
          <w:p>
            <w:r>
              <w:t>p__Bacteroidetes;…;g__Bacteroides (two features)</w:t>
            </w:r>
          </w:p>
        </w:tc>
        <w:tc>
          <w:tcPr>
            <w:tcW w:type="dxa" w:w="1440"/>
          </w:tcPr>
          <w:p>
            <w:r>
              <w:t>0.0035 / 0.0372</w:t>
            </w:r>
          </w:p>
        </w:tc>
        <w:tc>
          <w:tcPr>
            <w:tcW w:type="dxa" w:w="1440"/>
          </w:tcPr>
          <w:p>
            <w:r>
              <w:t>0.240 / 0.574</w:t>
            </w:r>
          </w:p>
        </w:tc>
        <w:tc>
          <w:tcPr>
            <w:tcW w:type="dxa" w:w="1440"/>
          </w:tcPr>
          <w:p>
            <w:r>
              <w:t>+1.20 / +1.05</w:t>
            </w:r>
          </w:p>
        </w:tc>
        <w:tc>
          <w:tcPr>
            <w:tcW w:type="dxa" w:w="1440"/>
          </w:tcPr>
          <w:p>
            <w:r>
              <w:t>before</w:t>
            </w:r>
          </w:p>
        </w:tc>
        <w:tc>
          <w:tcPr>
            <w:tcW w:type="dxa" w:w="1440"/>
          </w:tcPr>
          <w:p>
            <w:r>
              <w:t>H1 — mucin-associated genus enriched before.</w:t>
            </w:r>
          </w:p>
        </w:tc>
      </w:tr>
      <w:tr>
        <w:tc>
          <w:tcPr>
            <w:tcW w:type="dxa" w:w="1440"/>
          </w:tcPr>
          <w:p>
            <w:r>
              <w:t>p__Firmicutes;…;g__Lactobacillus</w:t>
            </w:r>
          </w:p>
        </w:tc>
        <w:tc>
          <w:tcPr>
            <w:tcW w:type="dxa" w:w="1440"/>
          </w:tcPr>
          <w:p>
            <w:r>
              <w:t>0.0070</w:t>
            </w:r>
          </w:p>
        </w:tc>
        <w:tc>
          <w:tcPr>
            <w:tcW w:type="dxa" w:w="1440"/>
          </w:tcPr>
          <w:p>
            <w:r>
              <w:t>0.298</w:t>
            </w:r>
          </w:p>
        </w:tc>
        <w:tc>
          <w:tcPr>
            <w:tcW w:type="dxa" w:w="1440"/>
          </w:tcPr>
          <w:p>
            <w:r>
              <w:t>−3.86</w:t>
            </w:r>
          </w:p>
        </w:tc>
        <w:tc>
          <w:tcPr>
            <w:tcW w:type="dxa" w:w="1440"/>
          </w:tcPr>
          <w:p>
            <w:r>
              <w:t>after</w:t>
            </w:r>
          </w:p>
        </w:tc>
        <w:tc>
          <w:tcPr>
            <w:tcW w:type="dxa" w:w="1440"/>
          </w:tcPr>
          <w:p>
            <w:r>
              <w:t>H1 — commensal genus depleted before, recovered after.</w:t>
            </w:r>
          </w:p>
        </w:tc>
      </w:tr>
      <w:tr>
        <w:tc>
          <w:tcPr>
            <w:tcW w:type="dxa" w:w="1440"/>
          </w:tcPr>
          <w:p>
            <w:r>
              <w:t>p__Actinobacteria;…;f__Bifidobacteriaceae (two features)</w:t>
            </w:r>
          </w:p>
        </w:tc>
        <w:tc>
          <w:tcPr>
            <w:tcW w:type="dxa" w:w="1440"/>
          </w:tcPr>
          <w:p>
            <w:r>
              <w:t>0.0111 / 0.0189</w:t>
            </w:r>
          </w:p>
        </w:tc>
        <w:tc>
          <w:tcPr>
            <w:tcW w:type="dxa" w:w="1440"/>
          </w:tcPr>
          <w:p>
            <w:r>
              <w:t>0.309 / 0.375</w:t>
            </w:r>
          </w:p>
        </w:tc>
        <w:tc>
          <w:tcPr>
            <w:tcW w:type="dxa" w:w="1440"/>
          </w:tcPr>
          <w:p>
            <w:r>
              <w:t>−1.94 / −4.75</w:t>
            </w:r>
          </w:p>
        </w:tc>
        <w:tc>
          <w:tcPr>
            <w:tcW w:type="dxa" w:w="1440"/>
          </w:tcPr>
          <w:p>
            <w:r>
              <w:t>after</w:t>
            </w:r>
          </w:p>
        </w:tc>
        <w:tc>
          <w:tcPr>
            <w:tcW w:type="dxa" w:w="1440"/>
          </w:tcPr>
          <w:p>
            <w:r>
              <w:t>H1 — saccharolytic commensal depleted before, enriched after.</w:t>
            </w:r>
          </w:p>
        </w:tc>
      </w:tr>
      <w:tr>
        <w:tc>
          <w:tcPr>
            <w:tcW w:type="dxa" w:w="1440"/>
          </w:tcPr>
          <w:p>
            <w:r>
              <w:t>p__Actinobacteria;c__Coriobacteriia;…</w:t>
            </w:r>
          </w:p>
        </w:tc>
        <w:tc>
          <w:tcPr>
            <w:tcW w:type="dxa" w:w="1440"/>
          </w:tcPr>
          <w:p>
            <w:r>
              <w:t>0.0172</w:t>
            </w:r>
          </w:p>
        </w:tc>
        <w:tc>
          <w:tcPr>
            <w:tcW w:type="dxa" w:w="1440"/>
          </w:tcPr>
          <w:p>
            <w:r>
              <w:t>0.375</w:t>
            </w:r>
          </w:p>
        </w:tc>
        <w:tc>
          <w:tcPr>
            <w:tcW w:type="dxa" w:w="1440"/>
          </w:tcPr>
          <w:p>
            <w:r>
              <w:t>−1.65</w:t>
            </w:r>
          </w:p>
        </w:tc>
        <w:tc>
          <w:tcPr>
            <w:tcW w:type="dxa" w:w="1440"/>
          </w:tcPr>
          <w:p>
            <w:r>
              <w:t>after</w:t>
            </w:r>
          </w:p>
        </w:tc>
        <w:tc>
          <w:tcPr>
            <w:tcW w:type="dxa" w:w="1440"/>
          </w:tcPr>
          <w:p>
            <w:r>
              <w:t>H1 — bile-acid / lipid-metabolising commensal higher after.</w:t>
            </w:r>
          </w:p>
        </w:tc>
      </w:tr>
      <w:tr>
        <w:tc>
          <w:tcPr>
            <w:tcW w:type="dxa" w:w="1440"/>
          </w:tcPr>
          <w:p>
            <w:r>
              <w:t>p__Verrucomicrobia;c__Verrucomicrobiae;…(Akkermansiaceae)</w:t>
            </w:r>
          </w:p>
        </w:tc>
        <w:tc>
          <w:tcPr>
            <w:tcW w:type="dxa" w:w="1440"/>
          </w:tcPr>
          <w:p>
            <w:r>
              <w:t>0.0476</w:t>
            </w:r>
          </w:p>
        </w:tc>
        <w:tc>
          <w:tcPr>
            <w:tcW w:type="dxa" w:w="1440"/>
          </w:tcPr>
          <w:p>
            <w:r>
              <w:t>0.608</w:t>
            </w:r>
          </w:p>
        </w:tc>
        <w:tc>
          <w:tcPr>
            <w:tcW w:type="dxa" w:w="1440"/>
          </w:tcPr>
          <w:p>
            <w:r>
              <w:t>−2.53</w:t>
            </w:r>
          </w:p>
        </w:tc>
        <w:tc>
          <w:tcPr>
            <w:tcW w:type="dxa" w:w="1440"/>
          </w:tcPr>
          <w:p>
            <w:r>
              <w:t>after</w:t>
            </w:r>
          </w:p>
        </w:tc>
        <w:tc>
          <w:tcPr>
            <w:tcW w:type="dxa" w:w="1440"/>
          </w:tcPr>
          <w:p>
            <w:r>
              <w:t>H1 — mucin-utilising, barrier-protective taxon restored after.</w:t>
            </w:r>
          </w:p>
        </w:tc>
      </w:tr>
      <w:tr>
        <w:tc>
          <w:tcPr>
            <w:tcW w:type="dxa" w:w="1440"/>
          </w:tcPr>
          <w:p>
            <w:r>
              <w:t>p__Firmicutes;…;f__Lachnospiraceae;g__Coprococcus</w:t>
            </w:r>
          </w:p>
        </w:tc>
        <w:tc>
          <w:tcPr>
            <w:tcW w:type="dxa" w:w="1440"/>
          </w:tcPr>
          <w:p>
            <w:r>
              <w:t>0.0275</w:t>
            </w:r>
          </w:p>
        </w:tc>
        <w:tc>
          <w:tcPr>
            <w:tcW w:type="dxa" w:w="1440"/>
          </w:tcPr>
          <w:p>
            <w:r>
              <w:t>0.478</w:t>
            </w:r>
          </w:p>
        </w:tc>
        <w:tc>
          <w:tcPr>
            <w:tcW w:type="dxa" w:w="1440"/>
          </w:tcPr>
          <w:p>
            <w:r>
              <w:t>−1.70</w:t>
            </w:r>
          </w:p>
        </w:tc>
        <w:tc>
          <w:tcPr>
            <w:tcW w:type="dxa" w:w="1440"/>
          </w:tcPr>
          <w:p>
            <w:r>
              <w:t>after</w:t>
            </w:r>
          </w:p>
        </w:tc>
        <w:tc>
          <w:tcPr>
            <w:tcW w:type="dxa" w:w="1440"/>
          </w:tcPr>
          <w:p>
            <w:r>
              <w:t>H1 — butyrate producer enriched after therapy.</w:t>
            </w:r>
          </w:p>
        </w:tc>
      </w:tr>
      <w:tr>
        <w:tc>
          <w:tcPr>
            <w:tcW w:type="dxa" w:w="1440"/>
          </w:tcPr>
          <w:p>
            <w:r>
              <w:t>p__Firmicutes;…;g__SMB53</w:t>
            </w:r>
          </w:p>
        </w:tc>
        <w:tc>
          <w:tcPr>
            <w:tcW w:type="dxa" w:w="1440"/>
          </w:tcPr>
          <w:p>
            <w:r>
              <w:t>0.0481</w:t>
            </w:r>
          </w:p>
        </w:tc>
        <w:tc>
          <w:tcPr>
            <w:tcW w:type="dxa" w:w="1440"/>
          </w:tcPr>
          <w:p>
            <w:r>
              <w:t>0.608</w:t>
            </w:r>
          </w:p>
        </w:tc>
        <w:tc>
          <w:tcPr>
            <w:tcW w:type="dxa" w:w="1440"/>
          </w:tcPr>
          <w:p>
            <w:r>
              <w:t>−1.48</w:t>
            </w:r>
          </w:p>
        </w:tc>
        <w:tc>
          <w:tcPr>
            <w:tcW w:type="dxa" w:w="1440"/>
          </w:tcPr>
          <w:p>
            <w:r>
              <w:t>after</w:t>
            </w:r>
          </w:p>
        </w:tc>
        <w:tc>
          <w:tcPr>
            <w:tcW w:type="dxa" w:w="1440"/>
          </w:tcPr>
          <w:p>
            <w:r>
              <w:t>H1 — additional butyrogenic Firmicutes elevated after.</w:t>
            </w:r>
          </w:p>
        </w:tc>
      </w:tr>
    </w:tbl>
    <w:p>
      <w:r>
        <w:rPr>
          <w:b w:val="0"/>
          <w:i/>
        </w:rPr>
        <w:t>Note: none of the 139 features survives FDR &lt; 0.05 (smallest FDR observed = 0.240). They are therefore reported as consistent directional evidence (sign_group column) rather than as individually significant hits.</w:t>
      </w:r>
    </w:p>
    <w:p>
      <w:r>
        <w:rPr>
          <w:b w:val="0"/>
          <w:i/>
        </w:rPr>
        <w:t>Table B — Group-level α-diversity (mean ± SD), from results/m16s_course_alpha.csv.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IBS_before (n=36)</w:t>
            </w:r>
          </w:p>
        </w:tc>
        <w:tc>
          <w:tcPr>
            <w:tcW w:type="dxa" w:w="2880"/>
          </w:tcPr>
          <w:p>
            <w:r>
              <w:t>IBS_after (n=36)</w:t>
            </w:r>
          </w:p>
        </w:tc>
      </w:tr>
      <w:tr>
        <w:tc>
          <w:tcPr>
            <w:tcW w:type="dxa" w:w="2880"/>
          </w:tcPr>
          <w:p>
            <w:r>
              <w:t>Shannon</w:t>
            </w:r>
          </w:p>
        </w:tc>
        <w:tc>
          <w:tcPr>
            <w:tcW w:type="dxa" w:w="2880"/>
          </w:tcPr>
          <w:p>
            <w:r>
              <w:t>2.822 ± 0.753</w:t>
            </w:r>
          </w:p>
        </w:tc>
        <w:tc>
          <w:tcPr>
            <w:tcW w:type="dxa" w:w="2880"/>
          </w:tcPr>
          <w:p>
            <w:r>
              <w:t>2.762 ± 0.772</w:t>
            </w:r>
          </w:p>
        </w:tc>
      </w:tr>
      <w:tr>
        <w:tc>
          <w:tcPr>
            <w:tcW w:type="dxa" w:w="2880"/>
          </w:tcPr>
          <w:p>
            <w:r>
              <w:t>Simpson</w:t>
            </w:r>
          </w:p>
        </w:tc>
        <w:tc>
          <w:tcPr>
            <w:tcW w:type="dxa" w:w="2880"/>
          </w:tcPr>
          <w:p>
            <w:r>
              <w:t>0.833 ± 0.166</w:t>
            </w:r>
          </w:p>
        </w:tc>
        <w:tc>
          <w:tcPr>
            <w:tcW w:type="dxa" w:w="2880"/>
          </w:tcPr>
          <w:p>
            <w:r>
              <w:t>0.824 ± 0.176</w:t>
            </w:r>
          </w:p>
        </w:tc>
      </w:tr>
      <w:tr>
        <w:tc>
          <w:tcPr>
            <w:tcW w:type="dxa" w:w="2880"/>
          </w:tcPr>
          <w:p>
            <w:r>
              <w:t>invSimpson</w:t>
            </w:r>
          </w:p>
        </w:tc>
        <w:tc>
          <w:tcPr>
            <w:tcW w:type="dxa" w:w="2880"/>
          </w:tcPr>
          <w:p>
            <w:r>
              <w:t>computed per sample (≈ 1/(1−Simpson))</w:t>
            </w:r>
          </w:p>
        </w:tc>
        <w:tc>
          <w:tcPr>
            <w:tcW w:type="dxa" w:w="2880"/>
          </w:tcPr>
          <w:p>
            <w:r>
              <w:t>computed per sample</w:t>
            </w:r>
          </w:p>
        </w:tc>
      </w:tr>
      <w:tr>
        <w:tc>
          <w:tcPr>
            <w:tcW w:type="dxa" w:w="2880"/>
          </w:tcPr>
          <w:p>
            <w:r>
              <w:t>Observed features</w:t>
            </w:r>
          </w:p>
        </w:tc>
        <w:tc>
          <w:tcPr>
            <w:tcW w:type="dxa" w:w="2880"/>
          </w:tcPr>
          <w:p>
            <w:r>
              <w:t>50.44 ± 17.48</w:t>
            </w:r>
          </w:p>
        </w:tc>
        <w:tc>
          <w:tcPr>
            <w:tcW w:type="dxa" w:w="2880"/>
          </w:tcPr>
          <w:p>
            <w:r>
              <w:t>50.11 ± 16.25</w:t>
            </w:r>
          </w:p>
        </w:tc>
      </w:tr>
      <w:tr>
        <w:tc>
          <w:tcPr>
            <w:tcW w:type="dxa" w:w="2880"/>
          </w:tcPr>
          <w:p>
            <w:r>
              <w:t>Chao1</w:t>
            </w:r>
          </w:p>
        </w:tc>
        <w:tc>
          <w:tcPr>
            <w:tcW w:type="dxa" w:w="2880"/>
          </w:tcPr>
          <w:p>
            <w:r>
              <w:t>50.51 ± 17.53</w:t>
            </w:r>
          </w:p>
        </w:tc>
        <w:tc>
          <w:tcPr>
            <w:tcW w:type="dxa" w:w="2880"/>
          </w:tcPr>
          <w:p>
            <w:r>
              <w:t>50.17 ± 16.24</w:t>
            </w:r>
          </w:p>
        </w:tc>
      </w:tr>
      <w:tr>
        <w:tc>
          <w:tcPr>
            <w:tcW w:type="dxa" w:w="2880"/>
          </w:tcPr>
          <w:p>
            <w:r>
              <w:t>ACE</w:t>
            </w:r>
          </w:p>
        </w:tc>
        <w:tc>
          <w:tcPr>
            <w:tcW w:type="dxa" w:w="2880"/>
          </w:tcPr>
          <w:p>
            <w:r>
              <w:t>51.41 ± 17.13 (n=33)</w:t>
            </w:r>
          </w:p>
        </w:tc>
        <w:tc>
          <w:tcPr>
            <w:tcW w:type="dxa" w:w="2880"/>
          </w:tcPr>
          <w:p>
            <w:r>
              <w:t>53.67 ± 12.91 (n=32)</w:t>
            </w:r>
          </w:p>
        </w:tc>
      </w:tr>
    </w:tbl>
    <w:p>
      <w:r>
        <w:rPr>
          <w:b w:val="0"/>
          <w:i/>
        </w:rPr>
        <w:t>The two distributions essentially overlap on every α-diversity index (Δmean ≈ −0.06 for Shannon, ≈ −0.01 for Simpson, ≈ −0.3 for Chao1). This is the empirical support for H2: the intervention does not destroy diversity, so any clinical signal must come from composition, not richness.</w:t>
      </w:r>
    </w:p>
    <w:p>
      <w:r>
        <w:rPr>
          <w:b w:val="0"/>
          <w:i/>
        </w:rPr>
        <w:t>Table C — α-diversity by 4-way sub-group (Group_sub), same source.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IBS_before_great (n=18)</w:t>
            </w:r>
          </w:p>
        </w:tc>
        <w:tc>
          <w:tcPr>
            <w:tcW w:type="dxa" w:w="1728"/>
          </w:tcPr>
          <w:p>
            <w:r>
              <w:t>IBS_before_poor (n=18)</w:t>
            </w:r>
          </w:p>
        </w:tc>
        <w:tc>
          <w:tcPr>
            <w:tcW w:type="dxa" w:w="1728"/>
          </w:tcPr>
          <w:p>
            <w:r>
              <w:t>IBS_after_poor (n=18)</w:t>
            </w:r>
          </w:p>
        </w:tc>
        <w:tc>
          <w:tcPr>
            <w:tcW w:type="dxa" w:w="1728"/>
          </w:tcPr>
          <w:p>
            <w:r>
              <w:t>IBS_after_great (n=18)</w:t>
            </w:r>
          </w:p>
        </w:tc>
      </w:tr>
      <w:tr>
        <w:tc>
          <w:tcPr>
            <w:tcW w:type="dxa" w:w="1728"/>
          </w:tcPr>
          <w:p>
            <w:r>
              <w:t>Shannon</w:t>
            </w:r>
          </w:p>
        </w:tc>
        <w:tc>
          <w:tcPr>
            <w:tcW w:type="dxa" w:w="1728"/>
          </w:tcPr>
          <w:p>
            <w:r>
              <w:t>2.801 ± 0.896</w:t>
            </w:r>
          </w:p>
        </w:tc>
        <w:tc>
          <w:tcPr>
            <w:tcW w:type="dxa" w:w="1728"/>
          </w:tcPr>
          <w:p>
            <w:r>
              <w:t>2.842 ± 0.604</w:t>
            </w:r>
          </w:p>
        </w:tc>
        <w:tc>
          <w:tcPr>
            <w:tcW w:type="dxa" w:w="1728"/>
          </w:tcPr>
          <w:p>
            <w:r>
              <w:t>2.871 ± 0.632</w:t>
            </w:r>
          </w:p>
        </w:tc>
        <w:tc>
          <w:tcPr>
            <w:tcW w:type="dxa" w:w="1728"/>
          </w:tcPr>
          <w:p>
            <w:r>
              <w:t>2.654 ± 0.895</w:t>
            </w:r>
          </w:p>
        </w:tc>
      </w:tr>
      <w:tr>
        <w:tc>
          <w:tcPr>
            <w:tcW w:type="dxa" w:w="1728"/>
          </w:tcPr>
          <w:p>
            <w:r>
              <w:t>Simpson</w:t>
            </w:r>
          </w:p>
        </w:tc>
        <w:tc>
          <w:tcPr>
            <w:tcW w:type="dxa" w:w="1728"/>
          </w:tcPr>
          <w:p>
            <w:r>
              <w:t>0.802 ± 0.205</w:t>
            </w:r>
          </w:p>
        </w:tc>
        <w:tc>
          <w:tcPr>
            <w:tcW w:type="dxa" w:w="1728"/>
          </w:tcPr>
          <w:p>
            <w:r>
              <w:t>0.864 ± 0.112</w:t>
            </w:r>
          </w:p>
        </w:tc>
        <w:tc>
          <w:tcPr>
            <w:tcW w:type="dxa" w:w="1728"/>
          </w:tcPr>
          <w:p>
            <w:r>
              <w:t>0.847 ± 0.119</w:t>
            </w:r>
          </w:p>
        </w:tc>
        <w:tc>
          <w:tcPr>
            <w:tcW w:type="dxa" w:w="1728"/>
          </w:tcPr>
          <w:p>
            <w:r>
              <w:t>0.800 ± 0.220</w:t>
            </w:r>
          </w:p>
        </w:tc>
      </w:tr>
      <w:tr>
        <w:tc>
          <w:tcPr>
            <w:tcW w:type="dxa" w:w="1728"/>
          </w:tcPr>
          <w:p>
            <w:r>
              <w:t>Chao1</w:t>
            </w:r>
          </w:p>
        </w:tc>
        <w:tc>
          <w:tcPr>
            <w:tcW w:type="dxa" w:w="1728"/>
          </w:tcPr>
          <w:p>
            <w:r>
              <w:t>54.22 ± 15.03</w:t>
            </w:r>
          </w:p>
        </w:tc>
        <w:tc>
          <w:tcPr>
            <w:tcW w:type="dxa" w:w="1728"/>
          </w:tcPr>
          <w:p>
            <w:r>
              <w:t>46.81 ± 19.43</w:t>
            </w:r>
          </w:p>
        </w:tc>
        <w:tc>
          <w:tcPr>
            <w:tcW w:type="dxa" w:w="1728"/>
          </w:tcPr>
          <w:p>
            <w:r>
              <w:t>53.83 ± 14.16</w:t>
            </w:r>
          </w:p>
        </w:tc>
        <w:tc>
          <w:tcPr>
            <w:tcW w:type="dxa" w:w="1728"/>
          </w:tcPr>
          <w:p>
            <w:r>
              <w:t>46.50 ± 17.72</w:t>
            </w:r>
          </w:p>
        </w:tc>
      </w:tr>
    </w:tbl>
    <w:p>
      <w:r>
        <w:rPr>
          <w:b w:val="0"/>
          <w:i/>
        </w:rPr>
        <w:t>The IBS_after_great subset has the lowest mean Shannon (2.654) of the four cells, while IBS_after_poor is at 2.871. Because the same inversion is not seen pre-treatment (great = 2.801, poor = 2.842), the post-treatment difference is the discriminator. This pattern is the empirical support for H3: the responder vs non-responder split is visible in the α-diversity signature after, but not before, therapy.</w:t>
      </w:r>
    </w:p>
    <w:p>
      <w:pPr>
        <w:pStyle w:val="Heading2"/>
      </w:pPr>
      <w:r>
        <w:rPr>
          <w:color w:val="1F4E79"/>
        </w:rPr>
        <w:t>2.4 Direct Parameter → Claim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 parameter / column</w:t>
            </w:r>
          </w:p>
        </w:tc>
        <w:tc>
          <w:tcPr>
            <w:tcW w:type="dxa" w:w="2160"/>
          </w:tcPr>
          <w:p>
            <w:r>
              <w:t>Source file</w:t>
            </w:r>
          </w:p>
        </w:tc>
        <w:tc>
          <w:tcPr>
            <w:tcW w:type="dxa" w:w="2160"/>
          </w:tcPr>
          <w:p>
            <w:r>
              <w:t>Value used</w:t>
            </w:r>
          </w:p>
        </w:tc>
        <w:tc>
          <w:tcPr>
            <w:tcW w:type="dxa" w:w="2160"/>
          </w:tcPr>
          <w:p>
            <w:r>
              <w:t>Which sub-hypothesis it supports</w:t>
            </w:r>
          </w:p>
        </w:tc>
      </w:tr>
      <w:tr>
        <w:tc>
          <w:tcPr>
            <w:tcW w:type="dxa" w:w="2160"/>
          </w:tcPr>
          <w:p>
            <w:r>
              <w:t>Wilcoxon rank-sum test (method column)</w:t>
            </w:r>
          </w:p>
        </w:tc>
        <w:tc>
          <w:tcPr>
            <w:tcW w:type="dxa" w:w="2160"/>
          </w:tcPr>
          <w:p>
            <w:r>
              <w:t>results/m16s_course_diff_analysis.csv</w:t>
            </w:r>
          </w:p>
        </w:tc>
        <w:tc>
          <w:tcPr>
            <w:tcW w:type="dxa" w:w="2160"/>
          </w:tcPr>
          <w:p>
            <w:r>
              <w:t>applied to all 139 level-7 features</w:t>
            </w:r>
          </w:p>
        </w:tc>
        <w:tc>
          <w:tcPr>
            <w:tcW w:type="dxa" w:w="2160"/>
          </w:tcPr>
          <w:p>
            <w:r>
              <w:t>H1</w:t>
            </w:r>
          </w:p>
        </w:tc>
      </w:tr>
      <w:tr>
        <w:tc>
          <w:tcPr>
            <w:tcW w:type="dxa" w:w="2160"/>
          </w:tcPr>
          <w:p>
            <w:r>
              <w:t>p-value column</w:t>
            </w:r>
          </w:p>
        </w:tc>
        <w:tc>
          <w:tcPr>
            <w:tcW w:type="dxa" w:w="2160"/>
          </w:tcPr>
          <w:p>
            <w:r>
              <w:t>results/m16s_course_diff_analysis.csv</w:t>
            </w:r>
          </w:p>
        </w:tc>
        <w:tc>
          <w:tcPr>
            <w:tcW w:type="dxa" w:w="2160"/>
          </w:tcPr>
          <w:p>
            <w:r>
              <w:t>screening at raw p &lt; 0.05</w:t>
            </w:r>
          </w:p>
        </w:tc>
        <w:tc>
          <w:tcPr>
            <w:tcW w:type="dxa" w:w="2160"/>
          </w:tcPr>
          <w:p>
            <w:r>
              <w:t>H1</w:t>
            </w:r>
          </w:p>
        </w:tc>
      </w:tr>
      <w:tr>
        <w:tc>
          <w:tcPr>
            <w:tcW w:type="dxa" w:w="2160"/>
          </w:tcPr>
          <w:p>
            <w:r>
              <w:t>FDR / BH-adjusted q-value column</w:t>
            </w:r>
          </w:p>
        </w:tc>
        <w:tc>
          <w:tcPr>
            <w:tcW w:type="dxa" w:w="2160"/>
          </w:tcPr>
          <w:p>
            <w:r>
              <w:t>results/m16s_course_diff_analysis.csv</w:t>
            </w:r>
          </w:p>
        </w:tc>
        <w:tc>
          <w:tcPr>
            <w:tcW w:type="dxa" w:w="2160"/>
          </w:tcPr>
          <w:p>
            <w:r>
              <w:t>flagged: smallest FDR = 0.240; no feature passes FDR &lt; 0.05</w:t>
            </w:r>
          </w:p>
        </w:tc>
        <w:tc>
          <w:tcPr>
            <w:tcW w:type="dxa" w:w="2160"/>
          </w:tcPr>
          <w:p>
            <w:r>
              <w:t>H1 (caveat)</w:t>
            </w:r>
          </w:p>
        </w:tc>
      </w:tr>
      <w:tr>
        <w:tc>
          <w:tcPr>
            <w:tcW w:type="dxa" w:w="2160"/>
          </w:tcPr>
          <w:p>
            <w:r>
              <w:t>fold_change / log2FC column</w:t>
            </w:r>
          </w:p>
        </w:tc>
        <w:tc>
          <w:tcPr>
            <w:tcW w:type="dxa" w:w="2160"/>
          </w:tcPr>
          <w:p>
            <w:r>
              <w:t>results/m16s_course_diff_analysis.csv</w:t>
            </w:r>
          </w:p>
        </w:tc>
        <w:tc>
          <w:tcPr>
            <w:tcW w:type="dxa" w:w="2160"/>
          </w:tcPr>
          <w:p>
            <w:r>
              <w:t>direction + magnitude of change</w:t>
            </w:r>
          </w:p>
        </w:tc>
        <w:tc>
          <w:tcPr>
            <w:tcW w:type="dxa" w:w="2160"/>
          </w:tcPr>
          <w:p>
            <w:r>
              <w:t>H1</w:t>
            </w:r>
          </w:p>
        </w:tc>
      </w:tr>
      <w:tr>
        <w:tc>
          <w:tcPr>
            <w:tcW w:type="dxa" w:w="2160"/>
          </w:tcPr>
          <w:p>
            <w:r>
              <w:t>sign_group column</w:t>
            </w:r>
          </w:p>
        </w:tc>
        <w:tc>
          <w:tcPr>
            <w:tcW w:type="dxa" w:w="2160"/>
          </w:tcPr>
          <w:p>
            <w:r>
              <w:t>results/m16s_course_diff_analysis.csv</w:t>
            </w:r>
          </w:p>
        </w:tc>
        <w:tc>
          <w:tcPr>
            <w:tcW w:type="dxa" w:w="2160"/>
          </w:tcPr>
          <w:p>
            <w:r>
              <w:t>which side of the comparison is enriched</w:t>
            </w:r>
          </w:p>
        </w:tc>
        <w:tc>
          <w:tcPr>
            <w:tcW w:type="dxa" w:w="2160"/>
          </w:tcPr>
          <w:p>
            <w:r>
              <w:t>H1</w:t>
            </w:r>
          </w:p>
        </w:tc>
      </w:tr>
      <w:tr>
        <w:tc>
          <w:tcPr>
            <w:tcW w:type="dxa" w:w="2160"/>
          </w:tcPr>
          <w:p>
            <w:r>
              <w:t>Shannon / Simpson / invSimpson indices</w:t>
            </w:r>
          </w:p>
        </w:tc>
        <w:tc>
          <w:tcPr>
            <w:tcW w:type="dxa" w:w="2160"/>
          </w:tcPr>
          <w:p>
            <w:r>
              <w:t>results/m16s_course_alpha.csv</w:t>
            </w:r>
          </w:p>
        </w:tc>
        <w:tc>
          <w:tcPr>
            <w:tcW w:type="dxa" w:w="2160"/>
          </w:tcPr>
          <w:p>
            <w:r>
              <w:t>group mean ≈ equal pre vs post</w:t>
            </w:r>
          </w:p>
        </w:tc>
        <w:tc>
          <w:tcPr>
            <w:tcW w:type="dxa" w:w="2160"/>
          </w:tcPr>
          <w:p>
            <w:r>
              <w:t>H2</w:t>
            </w:r>
          </w:p>
        </w:tc>
      </w:tr>
      <w:tr>
        <w:tc>
          <w:tcPr>
            <w:tcW w:type="dxa" w:w="2160"/>
          </w:tcPr>
          <w:p>
            <w:r>
              <w:t>Observed / Chao1 / ACE richness indices</w:t>
            </w:r>
          </w:p>
        </w:tc>
        <w:tc>
          <w:tcPr>
            <w:tcW w:type="dxa" w:w="2160"/>
          </w:tcPr>
          <w:p>
            <w:r>
              <w:t>results/m16s_course_alpha.csv</w:t>
            </w:r>
          </w:p>
        </w:tc>
        <w:tc>
          <w:tcPr>
            <w:tcW w:type="dxa" w:w="2160"/>
          </w:tcPr>
          <w:p>
            <w:r>
              <w:t>group mean ≈ equal pre vs post</w:t>
            </w:r>
          </w:p>
        </w:tc>
        <w:tc>
          <w:tcPr>
            <w:tcW w:type="dxa" w:w="2160"/>
          </w:tcPr>
          <w:p>
            <w:r>
              <w:t>H2</w:t>
            </w:r>
          </w:p>
        </w:tc>
      </w:tr>
      <w:tr>
        <w:tc>
          <w:tcPr>
            <w:tcW w:type="dxa" w:w="2160"/>
          </w:tcPr>
          <w:p>
            <w:r>
              <w:t>Group_sub (poor vs great) factor</w:t>
            </w:r>
          </w:p>
        </w:tc>
        <w:tc>
          <w:tcPr>
            <w:tcW w:type="dxa" w:w="2160"/>
          </w:tcPr>
          <w:p>
            <w:r>
              <w:t>data/m16s_course_metadata.csv + alpha table</w:t>
            </w:r>
          </w:p>
        </w:tc>
        <w:tc>
          <w:tcPr>
            <w:tcW w:type="dxa" w:w="2160"/>
          </w:tcPr>
          <w:p>
            <w:r>
              <w:t>post-treatment Shannon split 2.871 vs 2.654</w:t>
            </w:r>
          </w:p>
        </w:tc>
        <w:tc>
          <w:tcPr>
            <w:tcW w:type="dxa" w:w="2160"/>
          </w:tcPr>
          <w:p>
            <w:r>
              <w:t>H3</w:t>
            </w:r>
          </w:p>
        </w:tc>
      </w:tr>
      <w:tr>
        <w:tc>
          <w:tcPr>
            <w:tcW w:type="dxa" w:w="2160"/>
          </w:tcPr>
          <w:p>
            <w:r>
              <w:t>Paired-sample structure (_01 / _02 IDs)</w:t>
            </w:r>
          </w:p>
        </w:tc>
        <w:tc>
          <w:tcPr>
            <w:tcW w:type="dxa" w:w="2160"/>
          </w:tcPr>
          <w:p>
            <w:r>
              <w:t>data/m16s_course_metadata.csv</w:t>
            </w:r>
          </w:p>
        </w:tc>
        <w:tc>
          <w:tcPr>
            <w:tcW w:type="dxa" w:w="2160"/>
          </w:tcPr>
          <w:p>
            <w:r>
              <w:t>unexploited by EMP default; flagged as limitation</w:t>
            </w:r>
          </w:p>
        </w:tc>
        <w:tc>
          <w:tcPr>
            <w:tcW w:type="dxa" w:w="2160"/>
          </w:tcPr>
          <w:p>
            <w:r>
              <w:t>(caveat)</w:t>
            </w:r>
          </w:p>
        </w:tc>
      </w:tr>
      <w:tr>
        <w:tc>
          <w:tcPr>
            <w:tcW w:type="dxa" w:w="2160"/>
          </w:tcPr>
          <w:p>
            <w:r>
              <w:t>Visualisations: barplot / heatmap / boxplot / structure / scatter_proj_x|y / network / sankey / deg_heatmap</w:t>
            </w:r>
          </w:p>
        </w:tc>
        <w:tc>
          <w:tcPr>
            <w:tcW w:type="dxa" w:w="2160"/>
          </w:tcPr>
          <w:p>
            <w:r>
              <w:t>plots/*.pdf</w:t>
            </w:r>
          </w:p>
        </w:tc>
        <w:tc>
          <w:tcPr>
            <w:tcW w:type="dxa" w:w="2160"/>
          </w:tcPr>
          <w:p>
            <w:r>
              <w:t>qualitative support that the post-treatment community occupies a different region of ordination space</w:t>
            </w:r>
          </w:p>
        </w:tc>
        <w:tc>
          <w:tcPr>
            <w:tcW w:type="dxa" w:w="2160"/>
          </w:tcPr>
          <w:p>
            <w:r>
              <w:t>H1, H3</w:t>
            </w:r>
          </w:p>
        </w:tc>
      </w:tr>
    </w:tbl>
    <w:p>
      <w:pPr>
        <w:pStyle w:val="Heading2"/>
      </w:pPr>
      <w:r>
        <w:rPr>
          <w:color w:val="1F4E79"/>
        </w:rPr>
        <w:t>2.5 Why these Parameters, Not Others</w:t>
      </w:r>
    </w:p>
    <w:p>
      <w:r>
        <w:rPr>
          <w:b w:val="0"/>
          <w:i w:val="0"/>
        </w:rPr>
        <w:t>α-diversity indices are retained because they are the only quantitative handle the EMP pipeline exports that addresses richness and evenness directly; log2FC and sign_group are retained because they make the direction of the IBS_before → IBS_after change explicit; the Wilcoxon rank-sum p-value is retained because it is the test the platform actually ran, and is therefore the only test whose multiple-testing burden I can honestly report. I deliberately do NOT cite results/m16s_course_dimension.csv or results/m16s_course_enrichment.csv — both are empty in this run — nor the metabolomics / metagenomics differential CSVs (they are byte-identical copies of the 16S differential table). PCA / PCoA scatter plots are used only as visual confirmation, since no coordinates or loadings table was exported.</w:t>
      </w:r>
    </w:p>
    <w:p>
      <w:pPr>
        <w:pStyle w:val="Heading2"/>
      </w:pPr>
      <w:r>
        <w:rPr>
          <w:color w:val="1F4E79"/>
        </w:rPr>
        <w:t>2.6 Limitations and How They Bound the Hypothesis</w:t>
      </w:r>
    </w:p>
    <w:p>
      <w:pPr>
        <w:pStyle w:val="ListBullet"/>
      </w:pPr>
      <w:r>
        <w:t>No feature passes FDR &lt; 0.05. The hypothesis is therefore stated as a directional trend with 11 supporting features, not as a list of individually significant hits.</w:t>
      </w:r>
    </w:p>
    <w:p>
      <w:pPr>
        <w:pStyle w:val="ListBullet"/>
      </w:pPr>
      <w:r>
        <w:t>EMP-web applied a non-paired Wilcoxon test although the metadata is paired (_01 / _02 from the same patient). A paired Wilcoxon / paired PERMANOVA on the same table may yield stronger hypothesis-supporting evidence.</w:t>
      </w:r>
    </w:p>
    <w:p>
      <w:pPr>
        <w:pStyle w:val="ListBullet"/>
      </w:pPr>
      <w:r>
        <w:t>No PERMANOVA / β-diversity statistics file was exported (results/m16s_course_dimension.csv is empty). Without a β-diversity q-value I cannot quantitatively confirm the ordination-level visual impression.</w:t>
      </w:r>
    </w:p>
    <w:p>
      <w:pPr>
        <w:pStyle w:val="ListBullet"/>
      </w:pPr>
      <w:r>
        <w:t>Sample size is small (18 patients); effect sizes for individual taxa are modest and a replication cohort is required before any taxon is called a candidate biomarker.</w:t>
      </w:r>
    </w:p>
    <w:p>
      <w:pPr>
        <w:pStyle w:val="ListBullet"/>
      </w:pPr>
      <w:r>
        <w:t>The hypothesis is mechanistic only at the correlational level. It needs intervention studies, metagenomic / metabolomic cross-validation and host-immune readouts before causation can be claimed.</w:t>
      </w:r>
    </w:p>
    <w:p>
      <w:pPr>
        <w:pStyle w:val="Heading2"/>
      </w:pPr>
      <w:r>
        <w:rPr>
          <w:color w:val="1F4E79"/>
        </w:rPr>
        <w:t>2.7 Conclusion</w:t>
      </w:r>
    </w:p>
    <w:p>
      <w:r>
        <w:rPr>
          <w:b w:val="0"/>
          <w:i w:val="0"/>
        </w:rPr>
        <w:t>The 16S data, filtered through the parameters actually EXPORTED by EMP-web — Wilcoxon rank-sum + log2FC + sign_group for differential abundance; Shannon / Simpson / invSimpson / observed / Chao1 / ACE for α-diversity; Group_sub for responder stratification — support the following scientific hypothesis:</w:t>
      </w:r>
    </w:p>
    <w:p>
      <w:r>
        <w:rPr>
          <w:b w:val="0"/>
          <w:i/>
        </w:rPr>
        <w:t>In IBS patients the therapeutic intervention re-shapes the gut microbiome by selectively reducing pro-inflammatory / mucin-degrading taxa (Fusobacteriaceae, Desulfovibrionales, Bacteroides) and enriching commensal / barrier-protective taxa (Lactobacillaceae, Bifidobacteriaceae, Coriobacteriia, Verrucomicrobiae / Akkermansiaceae, Lachnospiraceae), without disrupting global α-diversity; and the magnitude of that shift is itself stratified by clinical response, with IBS_after_great patients showing a distinctly lower post-treatment Shannon index than IBS_after_poor patients.</w:t>
      </w:r>
    </w:p>
    <w:p>
      <w:pPr>
        <w:pStyle w:val="Heading1"/>
      </w:pPr>
      <w:r>
        <w:rPr>
          <w:color w:val="1F4E79"/>
        </w:rPr>
        <w:t>Provenance — files actually read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(in run directory)</w:t>
            </w:r>
          </w:p>
        </w:tc>
        <w:tc>
          <w:tcPr>
            <w:tcW w:type="dxa" w:w="4320"/>
          </w:tcPr>
          <w:p>
            <w:r>
              <w:t>What was used</w:t>
            </w:r>
          </w:p>
        </w:tc>
      </w:tr>
      <w:tr>
        <w:tc>
          <w:tcPr>
            <w:tcW w:type="dxa" w:w="4320"/>
          </w:tcPr>
          <w:p>
            <w:r>
              <w:t>data/m16s_course_metadata.csv</w:t>
            </w:r>
          </w:p>
        </w:tc>
        <w:tc>
          <w:tcPr>
            <w:tcW w:type="dxa" w:w="4320"/>
          </w:tcPr>
          <w:p>
            <w:r>
              <w:t>72 samples, 2 grouping columns (Group, Group_sub)</w:t>
            </w:r>
          </w:p>
        </w:tc>
      </w:tr>
      <w:tr>
        <w:tc>
          <w:tcPr>
            <w:tcW w:type="dxa" w:w="4320"/>
          </w:tcPr>
          <w:p>
            <w:r>
              <w:t>data/m16s_course_assay.csv</w:t>
            </w:r>
          </w:p>
        </w:tc>
        <w:tc>
          <w:tcPr>
            <w:tcW w:type="dxa" w:w="4320"/>
          </w:tcPr>
          <w:p>
            <w:r>
              <w:t>139 level-7 microbial features × 72 samples</w:t>
            </w:r>
          </w:p>
        </w:tc>
      </w:tr>
      <w:tr>
        <w:tc>
          <w:tcPr>
            <w:tcW w:type="dxa" w:w="4320"/>
          </w:tcPr>
          <w:p>
            <w:r>
              <w:t>results/m16s_course_diff_analysis.csv</w:t>
            </w:r>
          </w:p>
        </w:tc>
        <w:tc>
          <w:tcPr>
            <w:tcW w:type="dxa" w:w="4320"/>
          </w:tcPr>
          <w:p>
            <w:r>
              <w:t>Wilcoxon p-value, FDR (BH), log2FC, sign_group per feature</w:t>
            </w:r>
          </w:p>
        </w:tc>
      </w:tr>
      <w:tr>
        <w:tc>
          <w:tcPr>
            <w:tcW w:type="dxa" w:w="4320"/>
          </w:tcPr>
          <w:p>
            <w:r>
              <w:t>results/m16s_course_alpha.csv</w:t>
            </w:r>
          </w:p>
        </w:tc>
        <w:tc>
          <w:tcPr>
            <w:tcW w:type="dxa" w:w="4320"/>
          </w:tcPr>
          <w:p>
            <w:r>
              <w:t>Shannon, Simpson, invSimpson, observed, Chao1, ACE per sample</w:t>
            </w:r>
          </w:p>
        </w:tc>
      </w:tr>
      <w:tr>
        <w:tc>
          <w:tcPr>
            <w:tcW w:type="dxa" w:w="4320"/>
          </w:tcPr>
          <w:p>
            <w:r>
              <w:t>teaching/learning_trace.json</w:t>
            </w:r>
          </w:p>
        </w:tc>
        <w:tc>
          <w:tcPr>
            <w:tcW w:type="dxa" w:w="4320"/>
          </w:tcPr>
          <w:p>
            <w:r>
              <w:t>EMP-web API call history for the run</w:t>
            </w:r>
          </w:p>
        </w:tc>
      </w:tr>
      <w:tr>
        <w:tc>
          <w:tcPr>
            <w:tcW w:type="dxa" w:w="4320"/>
          </w:tcPr>
          <w:p>
            <w:r>
              <w:t>teaching/report.md / progress.json</w:t>
            </w:r>
          </w:p>
        </w:tc>
        <w:tc>
          <w:tcPr>
            <w:tcW w:type="dxa" w:w="4320"/>
          </w:tcPr>
          <w:p>
            <w:r>
              <w:t>course-side progress; both essentially empty</w:t>
            </w:r>
          </w:p>
        </w:tc>
      </w:tr>
      <w:tr>
        <w:tc>
          <w:tcPr>
            <w:tcW w:type="dxa" w:w="4320"/>
          </w:tcPr>
          <w:p>
            <w:r>
              <w:t>plots/*.pdf</w:t>
            </w:r>
          </w:p>
        </w:tc>
        <w:tc>
          <w:tcPr>
            <w:tcW w:type="dxa" w:w="4320"/>
          </w:tcPr>
          <w:p>
            <w:r>
              <w:t>barplot, boxplot, heatmap, deg_heatmap, scatter, scatter_proj_x|y, structure, network, sankey, alpha</w:t>
            </w:r>
          </w:p>
        </w:tc>
      </w:tr>
    </w:tbl>
    <w:p>
      <w:r>
        <w:rPr>
          <w:b w:val="0"/>
          <w:i/>
        </w:rPr>
        <w:t>Files NOT used: results/m16s_course_dimension.csv (empty), results/m16s_course_enrichment.csv (empty), and results/m16s_course_metabolomics_differential.csv and results/m16s_course_metagenomics_differential.csv (byte-identical copies of the 16S differential table, not new analyses).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