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B1234">
      <w:pPr>
        <w:pStyle w:val="2"/>
        <w:pBdr>
          <w:bottom w:val="single" w:color="2B6CA3" w:sz="10" w:space="4"/>
        </w:pBdr>
        <w:spacing w:before="320" w:after="140"/>
      </w:pPr>
      <w:r>
        <w:rPr>
          <w:rFonts w:ascii="Calibri" w:hAnsi="Calibri" w:eastAsia="Calibri" w:cs="Calibri"/>
          <w:b/>
          <w:bCs/>
          <w:color w:val="2B6CA3"/>
          <w:sz w:val="28"/>
          <w:szCs w:val="28"/>
        </w:rPr>
        <w:t xml:space="preserve">Question 1 — Choose the Right Genomic Assay </w:t>
      </w:r>
    </w:p>
    <w:p w14:paraId="59C4FBC4">
      <w:pPr>
        <w:spacing w:before="60" w:after="100" w:line="276" w:lineRule="auto"/>
        <w:jc w:val="left"/>
      </w:pPr>
      <w:r>
        <w:rPr>
          <w:rFonts w:ascii="Calibri" w:hAnsi="Calibri" w:eastAsia="Calibri" w:cs="Calibri"/>
          <w:b/>
          <w:bCs/>
          <w:color w:val="1C2733"/>
          <w:sz w:val="21"/>
          <w:szCs w:val="21"/>
        </w:rPr>
        <w:t xml:space="preserve">Problem. </w:t>
      </w:r>
      <w:r>
        <w:rPr>
          <w:rFonts w:ascii="Calibri" w:hAnsi="Calibri" w:eastAsia="Calibri" w:cs="Calibri"/>
          <w:color w:val="1C2733"/>
          <w:sz w:val="21"/>
          <w:szCs w:val="21"/>
        </w:rPr>
        <w:t>Gene X is significantly upregulated in a disease group relative to healthy controls. Candidate mechanisms: a regulatory variant, altered chromatin accessibility, altered transcription-factor (TF) binding or histone modification, altered DNA methylation, or altered enhancer–promoter contact.</w:t>
      </w:r>
    </w:p>
    <w:p w14:paraId="15B6810A">
      <w:pPr>
        <w:pStyle w:val="3"/>
        <w:spacing w:before="260" w:after="100"/>
      </w:pPr>
      <w:r>
        <w:rPr>
          <w:rFonts w:ascii="Calibri" w:hAnsi="Calibri" w:eastAsia="Calibri" w:cs="Calibri"/>
          <w:b/>
          <w:bCs/>
          <w:color w:val="1C2733"/>
          <w:sz w:val="24"/>
          <w:szCs w:val="24"/>
        </w:rPr>
        <w:t>1.  My reasoning before AI</w:t>
      </w:r>
    </w:p>
    <w:p w14:paraId="34D8D16B">
      <w:pPr>
        <w:spacing w:before="60" w:after="100" w:line="276" w:lineRule="auto"/>
        <w:jc w:val="left"/>
      </w:pPr>
      <w:r>
        <w:rPr>
          <w:rFonts w:ascii="Calibri" w:hAnsi="Calibri" w:eastAsia="Calibri" w:cs="Calibri"/>
          <w:b/>
          <w:bCs/>
          <w:color w:val="1C2733"/>
          <w:sz w:val="21"/>
          <w:szCs w:val="21"/>
        </w:rPr>
        <w:t>First assay: ATAC-seq (case and control, ≥ 2 biological replicates each), run in parallel with WGS on the same individuals.</w:t>
      </w:r>
    </w:p>
    <w:p w14:paraId="15AF4A5A">
      <w:pPr>
        <w:spacing w:before="60" w:after="100" w:line="276" w:lineRule="auto"/>
        <w:jc w:val="left"/>
      </w:pPr>
      <w:r>
        <w:rPr>
          <w:rFonts w:ascii="Calibri" w:hAnsi="Calibri" w:eastAsia="Calibri" w:cs="Calibri"/>
          <w:color w:val="1C2733"/>
          <w:sz w:val="21"/>
          <w:szCs w:val="21"/>
        </w:rPr>
        <w:t>My reasoning is that the five candidate mechanisms are not five independent hypotheses of equal prior probability — they are mostly nested, and they converge on chromatin accessibility. A regulatory variant that matters usually alters TF binding; altered TF binding usually alters nucleosome occupancy; loss of promoter or enhancer methylation usually accompanies opening; and an enhancer that newly contacts the promoter is usually accessible. Accessibility is therefore the layer with the highest probability of showing a signal per unit of cost and input material, and — more importantly — it is the layer that nominates a specific genomic interval. Without a nominated interval, every other assay is a genome-wide fishing expedition; with one, ChIP/CUT&amp;Tag, WGBS and Hi-C all become targeted questions about a named coordinate.</w:t>
      </w:r>
    </w:p>
    <w:p w14:paraId="53EAB240">
      <w:pPr>
        <w:spacing w:before="60" w:after="100" w:line="276" w:lineRule="auto"/>
        <w:jc w:val="left"/>
      </w:pPr>
      <w:r>
        <w:rPr>
          <w:rFonts w:ascii="Calibri" w:hAnsi="Calibri" w:eastAsia="Calibri" w:cs="Calibri"/>
          <w:color w:val="1C2733"/>
          <w:sz w:val="21"/>
          <w:szCs w:val="21"/>
        </w:rPr>
        <w:t>I pair it with WGS rather than WES from the start, because the hypothesis under test is cis-regulatory and WES captures essentially none of the non-coding regulatory space. WGS is what supplies the candidate variant that any final model has to explain.</w:t>
      </w:r>
    </w:p>
    <w:p w14:paraId="780C414C">
      <w:pPr>
        <w:spacing w:before="60" w:after="100" w:line="276" w:lineRule="auto"/>
        <w:jc w:val="left"/>
      </w:pPr>
      <w:r>
        <w:rPr>
          <w:rFonts w:ascii="Calibri" w:hAnsi="Calibri" w:eastAsia="Calibri" w:cs="Calibri"/>
          <w:color w:val="1C2733"/>
          <w:sz w:val="21"/>
          <w:szCs w:val="21"/>
        </w:rPr>
        <w:t>What ATAC-seq cannot do, and why I plan more than one tier: it cannot say which TF occupies an open site, it cannot say which gene an open site serves, and it cannot distinguish a cause of upregulation from a consequence of it. That last limitation applies to every assay in this list, and it is why the strategy has to end in perturbation rather than in correlation.</w:t>
      </w:r>
    </w:p>
    <w:p w14:paraId="2D62BCE5">
      <w:pPr>
        <w:spacing w:before="60" w:after="100" w:line="276" w:lineRule="auto"/>
        <w:jc w:val="left"/>
      </w:pPr>
      <w:r>
        <w:rPr>
          <w:rFonts w:ascii="Calibri" w:hAnsi="Calibri" w:eastAsia="Calibri" w:cs="Calibri"/>
          <w:color w:val="1C2733"/>
          <w:sz w:val="21"/>
          <w:szCs w:val="21"/>
        </w:rPr>
        <w:t>My planned order, before any AI input: (0) confirm the phenotype and locate the promoter with RNA-seq, adding CAGE/RAMPAGE if a TSS switch is plausible; (1) ATAC-seq + WGS; (2) H3K27ac and H3K4me1 CUT&amp;Tag plus WGBS/EM-seq at the nominated element; (3) Micro-C to test whether the element contacts the Gene X promoter; (4) MPRA for the allele and CRISPRi for the element.</w:t>
      </w:r>
    </w:p>
    <w:p w14:paraId="49076CFB">
      <w:pPr>
        <w:pStyle w:val="3"/>
        <w:spacing w:before="260" w:after="100"/>
      </w:pPr>
      <w:r>
        <w:rPr>
          <w:rFonts w:ascii="Calibri" w:hAnsi="Calibri" w:eastAsia="Calibri" w:cs="Calibri"/>
          <w:b/>
          <w:bCs/>
          <w:color w:val="1C2733"/>
          <w:sz w:val="24"/>
          <w:szCs w:val="24"/>
        </w:rPr>
        <w:t>2.  AI-assisted workflow</w:t>
      </w:r>
    </w:p>
    <w:p w14:paraId="08B13A6C">
      <w:pPr>
        <w:spacing w:before="60" w:after="100" w:line="276" w:lineRule="auto"/>
        <w:jc w:val="left"/>
      </w:pPr>
      <w:r>
        <w:rPr>
          <w:rFonts w:ascii="Calibri" w:hAnsi="Calibri" w:eastAsia="Calibri" w:cs="Calibri"/>
          <w:color w:val="1C2733"/>
          <w:sz w:val="21"/>
          <w:szCs w:val="21"/>
        </w:rPr>
        <w:t>I asked the model to attack the design rather than to produce one. The prompt was written so that agreement was not an acceptable answer:</w:t>
      </w:r>
    </w:p>
    <w:p w14:paraId="4A98C202">
      <w:pPr>
        <w:shd w:val="clear" w:fill="F4F5F7"/>
        <w:spacing w:before="100" w:after="0" w:line="230" w:lineRule="auto"/>
        <w:ind w:left="140" w:right="140"/>
      </w:pPr>
      <w:r>
        <w:rPr>
          <w:rFonts w:ascii="Consolas" w:hAnsi="Consolas" w:eastAsia="Consolas" w:cs="Consolas"/>
          <w:color w:val="243040"/>
          <w:sz w:val="16"/>
          <w:szCs w:val="16"/>
        </w:rPr>
        <w:t>ROLE: act as a sceptical reviewer for a regulatory-genomics grant panel.</w:t>
      </w:r>
    </w:p>
    <w:p w14:paraId="05E66F45">
      <w:pPr>
        <w:shd w:val="clear" w:fill="F4F5F7"/>
        <w:spacing w:before="0" w:after="0" w:line="230" w:lineRule="auto"/>
        <w:ind w:left="140" w:right="140"/>
      </w:pPr>
      <w:r>
        <w:rPr>
          <w:rFonts w:ascii="Consolas" w:hAnsi="Consolas" w:eastAsia="Consolas" w:cs="Consolas"/>
          <w:color w:val="243040"/>
          <w:sz w:val="16"/>
          <w:szCs w:val="16"/>
        </w:rPr>
        <w:t xml:space="preserve"> </w:t>
      </w:r>
    </w:p>
    <w:p w14:paraId="675DCC23">
      <w:pPr>
        <w:shd w:val="clear" w:fill="F4F5F7"/>
        <w:spacing w:before="0" w:after="0" w:line="230" w:lineRule="auto"/>
        <w:ind w:left="140" w:right="140"/>
      </w:pPr>
      <w:r>
        <w:rPr>
          <w:rFonts w:ascii="Consolas" w:hAnsi="Consolas" w:eastAsia="Consolas" w:cs="Consolas"/>
          <w:color w:val="243040"/>
          <w:sz w:val="16"/>
          <w:szCs w:val="16"/>
        </w:rPr>
        <w:t>MY DESIGN (do not rewrite it, critique it):</w:t>
      </w:r>
    </w:p>
    <w:p w14:paraId="696B9462">
      <w:pPr>
        <w:shd w:val="clear" w:fill="F4F5F7"/>
        <w:spacing w:before="0" w:after="0" w:line="230" w:lineRule="auto"/>
        <w:ind w:left="140" w:right="140"/>
      </w:pPr>
      <w:r>
        <w:rPr>
          <w:rFonts w:ascii="Consolas" w:hAnsi="Consolas" w:eastAsia="Consolas" w:cs="Consolas"/>
          <w:color w:val="243040"/>
          <w:sz w:val="16"/>
          <w:szCs w:val="16"/>
        </w:rPr>
        <w:t xml:space="preserve">  Gene X is up in disease vs control. Tier 0 RNA-seq (+CAGE); Tier 1 ATAC-seq</w:t>
      </w:r>
    </w:p>
    <w:p w14:paraId="639C8F64">
      <w:pPr>
        <w:shd w:val="clear" w:fill="F4F5F7"/>
        <w:spacing w:before="0" w:after="0" w:line="230" w:lineRule="auto"/>
        <w:ind w:left="140" w:right="140"/>
      </w:pPr>
      <w:r>
        <w:rPr>
          <w:rFonts w:ascii="Consolas" w:hAnsi="Consolas" w:eastAsia="Consolas" w:cs="Consolas"/>
          <w:color w:val="243040"/>
          <w:sz w:val="16"/>
          <w:szCs w:val="16"/>
        </w:rPr>
        <w:t xml:space="preserve">  + WGS; Tier 2 H3K27ac/H3K4me1 CUT&amp;Tag + EM-seq at the nominated element;</w:t>
      </w:r>
    </w:p>
    <w:p w14:paraId="11FF5022">
      <w:pPr>
        <w:shd w:val="clear" w:fill="F4F5F7"/>
        <w:spacing w:before="0" w:after="0" w:line="230" w:lineRule="auto"/>
        <w:ind w:left="140" w:right="140"/>
      </w:pPr>
      <w:r>
        <w:rPr>
          <w:rFonts w:ascii="Consolas" w:hAnsi="Consolas" w:eastAsia="Consolas" w:cs="Consolas"/>
          <w:color w:val="243040"/>
          <w:sz w:val="16"/>
          <w:szCs w:val="16"/>
        </w:rPr>
        <w:t xml:space="preserve">  Tier 3 Micro-C; Tier 4 MPRA (ref vs alt allele) and CRISPRi of the element.</w:t>
      </w:r>
    </w:p>
    <w:p w14:paraId="780E7BA0">
      <w:pPr>
        <w:shd w:val="clear" w:fill="F4F5F7"/>
        <w:spacing w:before="0" w:after="0" w:line="230" w:lineRule="auto"/>
        <w:ind w:left="140" w:right="140"/>
      </w:pPr>
      <w:r>
        <w:rPr>
          <w:rFonts w:ascii="Consolas" w:hAnsi="Consolas" w:eastAsia="Consolas" w:cs="Consolas"/>
          <w:color w:val="243040"/>
          <w:sz w:val="16"/>
          <w:szCs w:val="16"/>
        </w:rPr>
        <w:t xml:space="preserve"> </w:t>
      </w:r>
    </w:p>
    <w:p w14:paraId="49E716B5">
      <w:pPr>
        <w:shd w:val="clear" w:fill="F4F5F7"/>
        <w:spacing w:before="0" w:after="0" w:line="230" w:lineRule="auto"/>
        <w:ind w:left="140" w:right="140"/>
      </w:pPr>
      <w:r>
        <w:rPr>
          <w:rFonts w:ascii="Consolas" w:hAnsi="Consolas" w:eastAsia="Consolas" w:cs="Consolas"/>
          <w:color w:val="243040"/>
          <w:sz w:val="16"/>
          <w:szCs w:val="16"/>
        </w:rPr>
        <w:t>TASKS:</w:t>
      </w:r>
    </w:p>
    <w:p w14:paraId="423E795B">
      <w:pPr>
        <w:shd w:val="clear" w:fill="F4F5F7"/>
        <w:spacing w:before="0" w:after="0" w:line="230" w:lineRule="auto"/>
        <w:ind w:left="140" w:right="140"/>
      </w:pPr>
      <w:r>
        <w:rPr>
          <w:rFonts w:ascii="Consolas" w:hAnsi="Consolas" w:eastAsia="Consolas" w:cs="Consolas"/>
          <w:color w:val="243040"/>
          <w:sz w:val="16"/>
          <w:szCs w:val="16"/>
        </w:rPr>
        <w:t xml:space="preserve">  1. Name the single weakest inferential step and say what result would</w:t>
      </w:r>
    </w:p>
    <w:p w14:paraId="58B22B3D">
      <w:pPr>
        <w:shd w:val="clear" w:fill="F4F5F7"/>
        <w:spacing w:before="0" w:after="0" w:line="230" w:lineRule="auto"/>
        <w:ind w:left="140" w:right="140"/>
      </w:pPr>
      <w:r>
        <w:rPr>
          <w:rFonts w:ascii="Consolas" w:hAnsi="Consolas" w:eastAsia="Consolas" w:cs="Consolas"/>
          <w:color w:val="243040"/>
          <w:sz w:val="16"/>
          <w:szCs w:val="16"/>
        </w:rPr>
        <w:t xml:space="preserve">     falsify my model at that step.</w:t>
      </w:r>
    </w:p>
    <w:p w14:paraId="53C98E94">
      <w:pPr>
        <w:shd w:val="clear" w:fill="F4F5F7"/>
        <w:spacing w:before="0" w:after="0" w:line="230" w:lineRule="auto"/>
        <w:ind w:left="140" w:right="140"/>
      </w:pPr>
      <w:r>
        <w:rPr>
          <w:rFonts w:ascii="Consolas" w:hAnsi="Consolas" w:eastAsia="Consolas" w:cs="Consolas"/>
          <w:color w:val="243040"/>
          <w:sz w:val="16"/>
          <w:szCs w:val="16"/>
        </w:rPr>
        <w:t xml:space="preserve">  2. For each assay, state one claim it CANNOT support that people routinely</w:t>
      </w:r>
    </w:p>
    <w:p w14:paraId="5C69D56C">
      <w:pPr>
        <w:shd w:val="clear" w:fill="F4F5F7"/>
        <w:spacing w:before="0" w:after="0" w:line="230" w:lineRule="auto"/>
        <w:ind w:left="140" w:right="140"/>
      </w:pPr>
      <w:r>
        <w:rPr>
          <w:rFonts w:ascii="Consolas" w:hAnsi="Consolas" w:eastAsia="Consolas" w:cs="Consolas"/>
          <w:color w:val="243040"/>
          <w:sz w:val="16"/>
          <w:szCs w:val="16"/>
        </w:rPr>
        <w:t xml:space="preserve">     make with it. Cite a primary paper for each.</w:t>
      </w:r>
    </w:p>
    <w:p w14:paraId="6FFC1E11">
      <w:pPr>
        <w:shd w:val="clear" w:fill="F4F5F7"/>
        <w:spacing w:before="0" w:after="0" w:line="230" w:lineRule="auto"/>
        <w:ind w:left="140" w:right="140"/>
      </w:pPr>
      <w:r>
        <w:rPr>
          <w:rFonts w:ascii="Consolas" w:hAnsi="Consolas" w:eastAsia="Consolas" w:cs="Consolas"/>
          <w:color w:val="243040"/>
          <w:sz w:val="16"/>
          <w:szCs w:val="16"/>
        </w:rPr>
        <w:t xml:space="preserve">  3. Give the cheapest experiment that would kill the whole model early.</w:t>
      </w:r>
    </w:p>
    <w:p w14:paraId="59F41936">
      <w:pPr>
        <w:shd w:val="clear" w:fill="F4F5F7"/>
        <w:spacing w:before="0" w:after="0" w:line="230" w:lineRule="auto"/>
        <w:ind w:left="140" w:right="140"/>
      </w:pPr>
      <w:r>
        <w:rPr>
          <w:rFonts w:ascii="Consolas" w:hAnsi="Consolas" w:eastAsia="Consolas" w:cs="Consolas"/>
          <w:color w:val="243040"/>
          <w:sz w:val="16"/>
          <w:szCs w:val="16"/>
        </w:rPr>
        <w:t xml:space="preserve">  4. Say which assay I could drop without losing discriminating power.</w:t>
      </w:r>
    </w:p>
    <w:p w14:paraId="2FA9CBF3">
      <w:pPr>
        <w:shd w:val="clear" w:fill="F4F5F7"/>
        <w:spacing w:before="0" w:after="0" w:line="230" w:lineRule="auto"/>
        <w:ind w:left="140" w:right="140"/>
      </w:pPr>
      <w:r>
        <w:rPr>
          <w:rFonts w:ascii="Consolas" w:hAnsi="Consolas" w:eastAsia="Consolas" w:cs="Consolas"/>
          <w:color w:val="243040"/>
          <w:sz w:val="16"/>
          <w:szCs w:val="16"/>
        </w:rPr>
        <w:t xml:space="preserve">  5. Flag any place where my ordering assumes the conclusion.</w:t>
      </w:r>
    </w:p>
    <w:p w14:paraId="425F50DE">
      <w:pPr>
        <w:shd w:val="clear" w:fill="F4F5F7"/>
        <w:spacing w:before="0" w:after="0" w:line="230" w:lineRule="auto"/>
        <w:ind w:left="140" w:right="140"/>
      </w:pPr>
      <w:r>
        <w:rPr>
          <w:rFonts w:ascii="Consolas" w:hAnsi="Consolas" w:eastAsia="Consolas" w:cs="Consolas"/>
          <w:color w:val="243040"/>
          <w:sz w:val="16"/>
          <w:szCs w:val="16"/>
        </w:rPr>
        <w:t xml:space="preserve"> </w:t>
      </w:r>
    </w:p>
    <w:p w14:paraId="3E7773E1">
      <w:pPr>
        <w:shd w:val="clear" w:fill="F4F5F7"/>
        <w:spacing w:before="0" w:after="0" w:line="230" w:lineRule="auto"/>
        <w:ind w:left="140" w:right="140"/>
      </w:pPr>
      <w:r>
        <w:rPr>
          <w:rFonts w:ascii="Consolas" w:hAnsi="Consolas" w:eastAsia="Consolas" w:cs="Consolas"/>
          <w:color w:val="243040"/>
          <w:sz w:val="16"/>
          <w:szCs w:val="16"/>
        </w:rPr>
        <w:t>CONSTRAINTS: no generic pipeline advice; every criticism must name the</w:t>
      </w:r>
    </w:p>
    <w:p w14:paraId="62E60458">
      <w:pPr>
        <w:shd w:val="clear" w:fill="F4F5F7"/>
        <w:spacing w:before="0" w:after="120" w:line="230" w:lineRule="auto"/>
        <w:ind w:left="140" w:right="140"/>
      </w:pPr>
      <w:r>
        <w:rPr>
          <w:rFonts w:ascii="Consolas" w:hAnsi="Consolas" w:eastAsia="Consolas" w:cs="Consolas"/>
          <w:color w:val="243040"/>
          <w:sz w:val="16"/>
          <w:szCs w:val="16"/>
        </w:rPr>
        <w:t>specific inference it attacks. If you cannot support a claim, say so.</w:t>
      </w:r>
    </w:p>
    <w:p w14:paraId="1177DFF4">
      <w:pPr>
        <w:spacing w:before="60" w:after="100" w:line="276" w:lineRule="auto"/>
        <w:jc w:val="left"/>
      </w:pPr>
      <w:r>
        <w:rPr>
          <w:rFonts w:ascii="Calibri" w:hAnsi="Calibri" w:eastAsia="Calibri" w:cs="Calibri"/>
          <w:color w:val="1C2733"/>
          <w:sz w:val="21"/>
          <w:szCs w:val="21"/>
        </w:rPr>
        <w:t>The four criticisms I judged worth acting on:</w:t>
      </w:r>
    </w:p>
    <w:p w14:paraId="621465D4">
      <w:pPr>
        <w:spacing w:before="40" w:after="40" w:line="264" w:lineRule="auto"/>
        <w:ind w:left="360" w:hanging="260"/>
      </w:pPr>
      <w:r>
        <w:rPr>
          <w:rFonts w:ascii="Calibri" w:hAnsi="Calibri" w:eastAsia="Calibri" w:cs="Calibri"/>
          <w:b/>
          <w:bCs/>
          <w:color w:val="2B6CA3"/>
          <w:sz w:val="21"/>
          <w:szCs w:val="21"/>
        </w:rPr>
        <w:t xml:space="preserve">1.  </w:t>
      </w:r>
      <w:r>
        <w:rPr>
          <w:rFonts w:ascii="Calibri" w:hAnsi="Calibri" w:eastAsia="Calibri" w:cs="Calibri"/>
          <w:b/>
          <w:bCs/>
          <w:color w:val="1C2733"/>
          <w:sz w:val="21"/>
          <w:szCs w:val="21"/>
        </w:rPr>
        <w:t xml:space="preserve">Direction of causality is assumed in Tier 1. </w:t>
      </w:r>
      <w:r>
        <w:rPr>
          <w:rFonts w:ascii="Calibri" w:hAnsi="Calibri" w:eastAsia="Calibri" w:cs="Calibri"/>
          <w:color w:val="1C2733"/>
          <w:sz w:val="21"/>
          <w:szCs w:val="21"/>
        </w:rPr>
        <w:t>Accessibility differences in disease tissue may be a consequence of the disease state (different cell-type proportions, different activation state), not a cause of Gene X upregulation. Action taken: I added cell-composition control to the design — sorted or single-cell-resolved input where possible — and I state this limitation explicitly rather than hiding it.</w:t>
      </w:r>
    </w:p>
    <w:p w14:paraId="1589ECAD">
      <w:pPr>
        <w:spacing w:before="40" w:after="40" w:line="264" w:lineRule="auto"/>
        <w:ind w:left="360" w:hanging="260"/>
      </w:pPr>
      <w:r>
        <w:rPr>
          <w:rFonts w:ascii="Calibri" w:hAnsi="Calibri" w:eastAsia="Calibri" w:cs="Calibri"/>
          <w:b/>
          <w:bCs/>
          <w:color w:val="2B6CA3"/>
          <w:sz w:val="21"/>
          <w:szCs w:val="21"/>
        </w:rPr>
        <w:t xml:space="preserve">2.  </w:t>
      </w:r>
      <w:r>
        <w:rPr>
          <w:rFonts w:ascii="Calibri" w:hAnsi="Calibri" w:eastAsia="Calibri" w:cs="Calibri"/>
          <w:b/>
          <w:bCs/>
          <w:color w:val="1C2733"/>
          <w:sz w:val="21"/>
          <w:szCs w:val="21"/>
        </w:rPr>
        <w:t xml:space="preserve">H3K27ac was doing too much work in my Tier 2. </w:t>
      </w:r>
      <w:r>
        <w:rPr>
          <w:rFonts w:ascii="Calibri" w:hAnsi="Calibri" w:eastAsia="Calibri" w:cs="Calibri"/>
          <w:color w:val="1C2733"/>
          <w:sz w:val="21"/>
          <w:szCs w:val="21"/>
        </w:rPr>
        <w:t>I had been treating H3K27ac as evidence of enhancer activity. The model challenged this and I verified it (see below): H3K27ac is a strong correlate of enhancer activity but is not required for it. Action taken: H3K27ac was demoted from "evidence of function" to "evidence of state".</w:t>
      </w:r>
    </w:p>
    <w:p w14:paraId="1467AFDB">
      <w:pPr>
        <w:spacing w:before="40" w:after="40" w:line="264" w:lineRule="auto"/>
        <w:ind w:left="360" w:hanging="260"/>
      </w:pPr>
      <w:r>
        <w:rPr>
          <w:rFonts w:ascii="Calibri" w:hAnsi="Calibri" w:eastAsia="Calibri" w:cs="Calibri"/>
          <w:b/>
          <w:bCs/>
          <w:color w:val="2B6CA3"/>
          <w:sz w:val="21"/>
          <w:szCs w:val="21"/>
        </w:rPr>
        <w:t xml:space="preserve">3.  </w:t>
      </w:r>
      <w:r>
        <w:rPr>
          <w:rFonts w:ascii="Calibri" w:hAnsi="Calibri" w:eastAsia="Calibri" w:cs="Calibri"/>
          <w:b/>
          <w:bCs/>
          <w:color w:val="1C2733"/>
          <w:sz w:val="21"/>
          <w:szCs w:val="21"/>
        </w:rPr>
        <w:t xml:space="preserve">Micro-C is the most expensive and the least decisive tier. </w:t>
      </w:r>
      <w:r>
        <w:rPr>
          <w:rFonts w:ascii="Calibri" w:hAnsi="Calibri" w:eastAsia="Calibri" w:cs="Calibri"/>
          <w:color w:val="1C2733"/>
          <w:sz w:val="21"/>
          <w:szCs w:val="21"/>
        </w:rPr>
        <w:t>Contact frequency is largely pre-existing and survives acute loss of the machinery that creates loops. Action taken: Micro-C stays, but as a hypothesis-generating step for choosing CRISPRi targets, not as evidence of regulation; if budget were constrained this is the tier I would drop.</w:t>
      </w:r>
    </w:p>
    <w:p w14:paraId="6E43D4DA">
      <w:pPr>
        <w:spacing w:before="40" w:after="40" w:line="264" w:lineRule="auto"/>
        <w:ind w:left="360" w:hanging="260"/>
      </w:pPr>
      <w:r>
        <w:rPr>
          <w:rFonts w:ascii="Calibri" w:hAnsi="Calibri" w:eastAsia="Calibri" w:cs="Calibri"/>
          <w:b/>
          <w:bCs/>
          <w:color w:val="2B6CA3"/>
          <w:sz w:val="21"/>
          <w:szCs w:val="21"/>
        </w:rPr>
        <w:t xml:space="preserve">4.  </w:t>
      </w:r>
      <w:r>
        <w:rPr>
          <w:rFonts w:ascii="Calibri" w:hAnsi="Calibri" w:eastAsia="Calibri" w:cs="Calibri"/>
          <w:b/>
          <w:bCs/>
          <w:color w:val="1C2733"/>
          <w:sz w:val="21"/>
          <w:szCs w:val="21"/>
        </w:rPr>
        <w:t xml:space="preserve">MPRA answers a different question from the one I was asking. </w:t>
      </w:r>
      <w:r>
        <w:rPr>
          <w:rFonts w:ascii="Calibri" w:hAnsi="Calibri" w:eastAsia="Calibri" w:cs="Calibri"/>
          <w:color w:val="1C2733"/>
          <w:sz w:val="21"/>
          <w:szCs w:val="21"/>
        </w:rPr>
        <w:t>MPRA tests whether a sequence can drive transcription in a reporter context, not whether it does so in its native chromatin. Action taken: MPRA is retained only for the allele comparison (ref vs alt), with CRISPRi as the test of the element in situ.</w:t>
      </w:r>
    </w:p>
    <w:p w14:paraId="41D3612D">
      <w:pPr>
        <w:spacing w:before="60" w:after="100" w:line="276" w:lineRule="auto"/>
        <w:jc w:val="left"/>
      </w:pPr>
      <w:r>
        <w:rPr>
          <w:rFonts w:ascii="Calibri" w:hAnsi="Calibri" w:eastAsia="Calibri" w:cs="Calibri"/>
          <w:color w:val="1C2733"/>
          <w:sz w:val="21"/>
          <w:szCs w:val="21"/>
        </w:rPr>
        <w:t>One AI suggestion I rejected: it proposed adding a TF ChIP-seq panel before knowing which motif is disrupted. That is an unbounded search — there are &gt;1,600 human TFs — and the motif analysis of the ATAC/WGS result should come first and nominate the candidate factor.</w:t>
      </w:r>
    </w:p>
    <w:p w14:paraId="2FB51D3D">
      <w:pPr>
        <w:pStyle w:val="3"/>
        <w:spacing w:before="260" w:after="100"/>
      </w:pPr>
      <w:r>
        <w:rPr>
          <w:rFonts w:ascii="Calibri" w:hAnsi="Calibri" w:eastAsia="Calibri" w:cs="Calibri"/>
          <w:b/>
          <w:bCs/>
          <w:color w:val="1C2733"/>
          <w:sz w:val="24"/>
          <w:szCs w:val="24"/>
        </w:rPr>
        <w:t>3.  Verification</w:t>
      </w:r>
    </w:p>
    <w:p w14:paraId="42925F55">
      <w:pPr>
        <w:spacing w:before="60" w:after="100" w:line="276" w:lineRule="auto"/>
        <w:jc w:val="left"/>
      </w:pPr>
      <w:r>
        <w:rPr>
          <w:rFonts w:ascii="Calibri" w:hAnsi="Calibri" w:eastAsia="Calibri" w:cs="Calibri"/>
          <w:color w:val="1C2733"/>
          <w:sz w:val="21"/>
          <w:szCs w:val="21"/>
        </w:rPr>
        <w:t>Each recommendation that survived was checked against a primary or standards source. Where the sources disagreed, I report the disagreement rather than resolving it artificially.</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2300"/>
        <w:gridCol w:w="2700"/>
        <w:gridCol w:w="5224"/>
      </w:tblGrid>
      <w:tr w14:paraId="4031655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2300" w:type="dxa"/>
            <w:shd w:val="clear" w:color="auto" w:fill="DCE7F1"/>
            <w:tcMar>
              <w:top w:w="60" w:type="dxa"/>
              <w:left w:w="90" w:type="dxa"/>
              <w:bottom w:w="60" w:type="dxa"/>
              <w:right w:w="90" w:type="dxa"/>
            </w:tcMar>
          </w:tcPr>
          <w:p w14:paraId="7FAF3D6A">
            <w:pPr>
              <w:spacing w:before="40" w:after="40" w:line="240" w:lineRule="auto"/>
              <w:jc w:val="left"/>
            </w:pPr>
            <w:r>
              <w:rPr>
                <w:rFonts w:ascii="Calibri" w:hAnsi="Calibri" w:eastAsia="Calibri" w:cs="Calibri"/>
                <w:b/>
                <w:bCs/>
                <w:color w:val="1C2733"/>
                <w:sz w:val="16"/>
                <w:szCs w:val="16"/>
              </w:rPr>
              <w:t>Claim being checked</w:t>
            </w:r>
          </w:p>
        </w:tc>
        <w:tc>
          <w:tcPr>
            <w:tcW w:w="2700" w:type="dxa"/>
            <w:shd w:val="clear" w:color="auto" w:fill="DCE7F1"/>
            <w:tcMar>
              <w:top w:w="60" w:type="dxa"/>
              <w:left w:w="90" w:type="dxa"/>
              <w:bottom w:w="60" w:type="dxa"/>
              <w:right w:w="90" w:type="dxa"/>
            </w:tcMar>
          </w:tcPr>
          <w:p w14:paraId="3E751D2A">
            <w:pPr>
              <w:spacing w:before="40" w:after="40" w:line="240" w:lineRule="auto"/>
              <w:jc w:val="left"/>
            </w:pPr>
            <w:r>
              <w:rPr>
                <w:rFonts w:ascii="Calibri" w:hAnsi="Calibri" w:eastAsia="Calibri" w:cs="Calibri"/>
                <w:b/>
                <w:bCs/>
                <w:color w:val="1C2733"/>
                <w:sz w:val="16"/>
                <w:szCs w:val="16"/>
              </w:rPr>
              <w:t>Authoritative source consulted</w:t>
            </w:r>
          </w:p>
        </w:tc>
        <w:tc>
          <w:tcPr>
            <w:tcW w:w="5224" w:type="dxa"/>
            <w:shd w:val="clear" w:color="auto" w:fill="DCE7F1"/>
            <w:tcMar>
              <w:top w:w="60" w:type="dxa"/>
              <w:left w:w="90" w:type="dxa"/>
              <w:bottom w:w="60" w:type="dxa"/>
              <w:right w:w="90" w:type="dxa"/>
            </w:tcMar>
          </w:tcPr>
          <w:p w14:paraId="64AAF6CB">
            <w:pPr>
              <w:spacing w:before="40" w:after="40" w:line="240" w:lineRule="auto"/>
              <w:jc w:val="left"/>
            </w:pPr>
            <w:r>
              <w:rPr>
                <w:rFonts w:ascii="Calibri" w:hAnsi="Calibri" w:eastAsia="Calibri" w:cs="Calibri"/>
                <w:b/>
                <w:bCs/>
                <w:color w:val="1C2733"/>
                <w:sz w:val="16"/>
                <w:szCs w:val="16"/>
              </w:rPr>
              <w:t>Outcome</w:t>
            </w:r>
          </w:p>
        </w:tc>
      </w:tr>
      <w:tr w14:paraId="3C6C013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tcMar>
              <w:top w:w="60" w:type="dxa"/>
              <w:left w:w="90" w:type="dxa"/>
              <w:bottom w:w="60" w:type="dxa"/>
              <w:right w:w="90" w:type="dxa"/>
            </w:tcMar>
          </w:tcPr>
          <w:p w14:paraId="606158AA">
            <w:pPr>
              <w:spacing w:before="40" w:after="40" w:line="240" w:lineRule="auto"/>
              <w:jc w:val="left"/>
            </w:pPr>
            <w:r>
              <w:rPr>
                <w:rFonts w:ascii="Calibri" w:hAnsi="Calibri" w:eastAsia="Calibri" w:cs="Calibri"/>
                <w:color w:val="1C2733"/>
                <w:sz w:val="16"/>
                <w:szCs w:val="16"/>
              </w:rPr>
              <w:t>ATAC-seq depth and quality targets are achievable for a two-condition design</w:t>
            </w:r>
          </w:p>
        </w:tc>
        <w:tc>
          <w:tcPr>
            <w:tcW w:w="2700" w:type="dxa"/>
            <w:tcMar>
              <w:top w:w="60" w:type="dxa"/>
              <w:left w:w="90" w:type="dxa"/>
              <w:bottom w:w="60" w:type="dxa"/>
              <w:right w:w="90" w:type="dxa"/>
            </w:tcMar>
          </w:tcPr>
          <w:p w14:paraId="5094A36F">
            <w:pPr>
              <w:spacing w:before="40" w:after="40" w:line="240" w:lineRule="auto"/>
              <w:jc w:val="left"/>
            </w:pPr>
            <w:r>
              <w:rPr>
                <w:rFonts w:ascii="Calibri" w:hAnsi="Calibri" w:eastAsia="Calibri" w:cs="Calibri"/>
                <w:color w:val="1C2733"/>
                <w:sz w:val="16"/>
                <w:szCs w:val="16"/>
              </w:rPr>
              <w:t>ENCODE4 ATAC-seq data standards (encodeproject.org/atac-seq/)</w:t>
            </w:r>
          </w:p>
        </w:tc>
        <w:tc>
          <w:tcPr>
            <w:tcW w:w="5224" w:type="dxa"/>
            <w:tcMar>
              <w:top w:w="60" w:type="dxa"/>
              <w:left w:w="90" w:type="dxa"/>
              <w:bottom w:w="60" w:type="dxa"/>
              <w:right w:w="90" w:type="dxa"/>
            </w:tcMar>
          </w:tcPr>
          <w:p w14:paraId="2CFD486C">
            <w:pPr>
              <w:spacing w:before="40" w:after="40" w:line="240" w:lineRule="auto"/>
              <w:jc w:val="left"/>
            </w:pPr>
            <w:r>
              <w:rPr>
                <w:rFonts w:ascii="Calibri" w:hAnsi="Calibri" w:eastAsia="Calibri" w:cs="Calibri"/>
                <w:color w:val="1C2733"/>
                <w:sz w:val="16"/>
                <w:szCs w:val="16"/>
              </w:rPr>
              <w:t>Confirmed and made concrete: ≥ 50 M non-duplicate, non-mitochondrial paired-end reads per replicate; TSS enrichment &gt; 7 ideal on GRCh38 (5–7 acceptable); FRiP &gt; 0.3 (&gt; 0.2 acceptable); ≥ 2 biological replicates with IDR rescue and self-consistency ratios &lt; 2. These are now the acceptance criteria in my design.</w:t>
            </w:r>
          </w:p>
        </w:tc>
      </w:tr>
      <w:tr w14:paraId="227FD93B">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shd w:val="clear" w:color="auto" w:fill="F6F8FA"/>
            <w:tcMar>
              <w:top w:w="60" w:type="dxa"/>
              <w:left w:w="90" w:type="dxa"/>
              <w:bottom w:w="60" w:type="dxa"/>
              <w:right w:w="90" w:type="dxa"/>
            </w:tcMar>
          </w:tcPr>
          <w:p w14:paraId="5B3938AD">
            <w:pPr>
              <w:spacing w:before="40" w:after="40" w:line="240" w:lineRule="auto"/>
              <w:jc w:val="left"/>
            </w:pPr>
            <w:r>
              <w:rPr>
                <w:rFonts w:ascii="Calibri" w:hAnsi="Calibri" w:eastAsia="Calibri" w:cs="Calibri"/>
                <w:color w:val="1C2733"/>
                <w:sz w:val="16"/>
                <w:szCs w:val="16"/>
              </w:rPr>
              <w:t>H3K27ac demonstrates that an element is an active enhancer</w:t>
            </w:r>
          </w:p>
        </w:tc>
        <w:tc>
          <w:tcPr>
            <w:tcW w:w="2700" w:type="dxa"/>
            <w:shd w:val="clear" w:color="auto" w:fill="F6F8FA"/>
            <w:tcMar>
              <w:top w:w="60" w:type="dxa"/>
              <w:left w:w="90" w:type="dxa"/>
              <w:bottom w:w="60" w:type="dxa"/>
              <w:right w:w="90" w:type="dxa"/>
            </w:tcMar>
          </w:tcPr>
          <w:p w14:paraId="400CDCAE">
            <w:pPr>
              <w:spacing w:before="40" w:after="40" w:line="240" w:lineRule="auto"/>
              <w:jc w:val="left"/>
            </w:pPr>
            <w:r>
              <w:rPr>
                <w:rFonts w:ascii="Calibri" w:hAnsi="Calibri" w:eastAsia="Calibri" w:cs="Calibri"/>
                <w:color w:val="1C2733"/>
                <w:sz w:val="16"/>
                <w:szCs w:val="16"/>
              </w:rPr>
              <w:t>Creyghton 2010 PNAS; Rada-Iglesias 2011 Nature (origin of the mark); Zhang T. et al. 2020 Genome Biology 21:45 (H3.3-K27R mutant mESCs); Raisner 2018 Cell Reports (opposing evidence)</w:t>
            </w:r>
          </w:p>
        </w:tc>
        <w:tc>
          <w:tcPr>
            <w:tcW w:w="5224" w:type="dxa"/>
            <w:shd w:val="clear" w:color="auto" w:fill="F6F8FA"/>
            <w:tcMar>
              <w:top w:w="60" w:type="dxa"/>
              <w:left w:w="90" w:type="dxa"/>
              <w:bottom w:w="60" w:type="dxa"/>
              <w:right w:w="90" w:type="dxa"/>
            </w:tcMar>
          </w:tcPr>
          <w:p w14:paraId="3865CA60">
            <w:pPr>
              <w:spacing w:before="40" w:after="40" w:line="240" w:lineRule="auto"/>
              <w:jc w:val="left"/>
            </w:pPr>
            <w:r>
              <w:rPr>
                <w:rFonts w:ascii="Calibri" w:hAnsi="Calibri" w:eastAsia="Calibri" w:cs="Calibri"/>
                <w:color w:val="1C2733"/>
                <w:sz w:val="16"/>
                <w:szCs w:val="16"/>
              </w:rPr>
              <w:t>REVISED. H3K27ac separates active from poised enhancers, but removing nearly all enhancer H3K27ac in H3.3-K27R mESCs leaves the transcriptome largely undisturbed; Raisner et al. argue the opposite from p300/CBP bromodomain inhibition. The honest reading is that H3K27ac is a correlate of p300/CBP activity, not a demonstrated causal intermediate. My figure and text now say "chromatin state", not "activity".</w:t>
            </w:r>
          </w:p>
        </w:tc>
      </w:tr>
      <w:tr w14:paraId="2F1C37B8">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tcMar>
              <w:top w:w="60" w:type="dxa"/>
              <w:left w:w="90" w:type="dxa"/>
              <w:bottom w:w="60" w:type="dxa"/>
              <w:right w:w="90" w:type="dxa"/>
            </w:tcMar>
          </w:tcPr>
          <w:p w14:paraId="48EEC927">
            <w:pPr>
              <w:spacing w:before="40" w:after="40" w:line="240" w:lineRule="auto"/>
              <w:jc w:val="left"/>
            </w:pPr>
            <w:r>
              <w:rPr>
                <w:rFonts w:ascii="Calibri" w:hAnsi="Calibri" w:eastAsia="Calibri" w:cs="Calibri"/>
                <w:color w:val="1C2733"/>
                <w:sz w:val="16"/>
                <w:szCs w:val="16"/>
              </w:rPr>
              <w:t>Histone ChIP-seq needs a matched control and defined depth</w:t>
            </w:r>
          </w:p>
        </w:tc>
        <w:tc>
          <w:tcPr>
            <w:tcW w:w="2700" w:type="dxa"/>
            <w:tcMar>
              <w:top w:w="60" w:type="dxa"/>
              <w:left w:w="90" w:type="dxa"/>
              <w:bottom w:w="60" w:type="dxa"/>
              <w:right w:w="90" w:type="dxa"/>
            </w:tcMar>
          </w:tcPr>
          <w:p w14:paraId="0B2ADDBA">
            <w:pPr>
              <w:spacing w:before="40" w:after="40" w:line="240" w:lineRule="auto"/>
              <w:jc w:val="left"/>
            </w:pPr>
            <w:r>
              <w:rPr>
                <w:rFonts w:ascii="Calibri" w:hAnsi="Calibri" w:eastAsia="Calibri" w:cs="Calibri"/>
                <w:color w:val="1C2733"/>
                <w:sz w:val="16"/>
                <w:szCs w:val="16"/>
              </w:rPr>
              <w:t>ENCODE4 histone ChIP-seq standards (encodeproject.org/chip-seq/histone-encode4/)</w:t>
            </w:r>
          </w:p>
        </w:tc>
        <w:tc>
          <w:tcPr>
            <w:tcW w:w="5224" w:type="dxa"/>
            <w:tcMar>
              <w:top w:w="60" w:type="dxa"/>
              <w:left w:w="90" w:type="dxa"/>
              <w:bottom w:w="60" w:type="dxa"/>
              <w:right w:w="90" w:type="dxa"/>
            </w:tcMar>
          </w:tcPr>
          <w:p w14:paraId="77733307">
            <w:pPr>
              <w:spacing w:before="40" w:after="40" w:line="240" w:lineRule="auto"/>
              <w:jc w:val="left"/>
            </w:pPr>
            <w:r>
              <w:rPr>
                <w:rFonts w:ascii="Calibri" w:hAnsi="Calibri" w:eastAsia="Calibri" w:cs="Calibri"/>
                <w:color w:val="1C2733"/>
                <w:sz w:val="16"/>
                <w:szCs w:val="16"/>
              </w:rPr>
              <w:t>Confirmed: an input control experiment with matching run type and replicate structure is required; 20 M usable fragments per replicate for narrow marks (H3K27ac is classed narrow), 45 M for broad marks (H3K4me1 is classed broad — the opposite of what I had assumed).</w:t>
            </w:r>
          </w:p>
        </w:tc>
      </w:tr>
      <w:tr w14:paraId="76513A9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shd w:val="clear" w:color="auto" w:fill="F6F8FA"/>
            <w:tcMar>
              <w:top w:w="60" w:type="dxa"/>
              <w:left w:w="90" w:type="dxa"/>
              <w:bottom w:w="60" w:type="dxa"/>
              <w:right w:w="90" w:type="dxa"/>
            </w:tcMar>
          </w:tcPr>
          <w:p w14:paraId="5CBC75DF">
            <w:pPr>
              <w:spacing w:before="40" w:after="40" w:line="240" w:lineRule="auto"/>
              <w:jc w:val="left"/>
            </w:pPr>
            <w:r>
              <w:rPr>
                <w:rFonts w:ascii="Calibri" w:hAnsi="Calibri" w:eastAsia="Calibri" w:cs="Calibri"/>
                <w:color w:val="1C2733"/>
                <w:sz w:val="16"/>
                <w:szCs w:val="16"/>
              </w:rPr>
              <w:t>CUT&amp;Tag can simply replace ChIP-seq for H3K27ac</w:t>
            </w:r>
          </w:p>
        </w:tc>
        <w:tc>
          <w:tcPr>
            <w:tcW w:w="2700" w:type="dxa"/>
            <w:shd w:val="clear" w:color="auto" w:fill="F6F8FA"/>
            <w:tcMar>
              <w:top w:w="60" w:type="dxa"/>
              <w:left w:w="90" w:type="dxa"/>
              <w:bottom w:w="60" w:type="dxa"/>
              <w:right w:w="90" w:type="dxa"/>
            </w:tcMar>
          </w:tcPr>
          <w:p w14:paraId="49730905">
            <w:pPr>
              <w:spacing w:before="40" w:after="40" w:line="240" w:lineRule="auto"/>
              <w:jc w:val="left"/>
            </w:pPr>
            <w:r>
              <w:rPr>
                <w:rFonts w:ascii="Calibri" w:hAnsi="Calibri" w:eastAsia="Calibri" w:cs="Calibri"/>
                <w:color w:val="1C2733"/>
                <w:sz w:val="16"/>
                <w:szCs w:val="16"/>
              </w:rPr>
              <w:t>Kaya-Okur 2019 Nat Commun 10:1930; Kaya-Okur 2020 Nat Protoc; Abbasova 2025 Nat Commun 16:2993</w:t>
            </w:r>
          </w:p>
        </w:tc>
        <w:tc>
          <w:tcPr>
            <w:tcW w:w="5224" w:type="dxa"/>
            <w:shd w:val="clear" w:color="auto" w:fill="F6F8FA"/>
            <w:tcMar>
              <w:top w:w="60" w:type="dxa"/>
              <w:left w:w="90" w:type="dxa"/>
              <w:bottom w:w="60" w:type="dxa"/>
              <w:right w:w="90" w:type="dxa"/>
            </w:tcMar>
          </w:tcPr>
          <w:p w14:paraId="79F174D0">
            <w:pPr>
              <w:spacing w:before="40" w:after="40" w:line="240" w:lineRule="auto"/>
              <w:jc w:val="left"/>
            </w:pPr>
            <w:r>
              <w:rPr>
                <w:rFonts w:ascii="Calibri" w:hAnsi="Calibri" w:eastAsia="Calibri" w:cs="Calibri"/>
                <w:color w:val="1C2733"/>
                <w:sz w:val="16"/>
                <w:szCs w:val="16"/>
              </w:rPr>
              <w:t>PARTLY REVISED. CUT&amp;Tag gives usable profiles from far fewer cells and reads and uses an IgG/no-primary control plus carry-over E. coli DNA for calibration, but it recovers on average only ~54% of ENCODE ChIP-seq acetylation peaks, biased towards accessible, strongly enriched sites. For discovery I keep ChIP-seq or accept the recall limitation explicitly.</w:t>
            </w:r>
          </w:p>
        </w:tc>
      </w:tr>
      <w:tr w14:paraId="0BC42FC6">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tcMar>
              <w:top w:w="60" w:type="dxa"/>
              <w:left w:w="90" w:type="dxa"/>
              <w:bottom w:w="60" w:type="dxa"/>
              <w:right w:w="90" w:type="dxa"/>
            </w:tcMar>
          </w:tcPr>
          <w:p w14:paraId="5344B238">
            <w:pPr>
              <w:spacing w:before="40" w:after="40" w:line="240" w:lineRule="auto"/>
              <w:jc w:val="left"/>
            </w:pPr>
            <w:r>
              <w:rPr>
                <w:rFonts w:ascii="Calibri" w:hAnsi="Calibri" w:eastAsia="Calibri" w:cs="Calibri"/>
                <w:color w:val="1C2733"/>
                <w:sz w:val="16"/>
                <w:szCs w:val="16"/>
              </w:rPr>
              <w:t>Bisulfite/EM-seq methylation calls are unambiguous</w:t>
            </w:r>
          </w:p>
        </w:tc>
        <w:tc>
          <w:tcPr>
            <w:tcW w:w="2700" w:type="dxa"/>
            <w:tcMar>
              <w:top w:w="60" w:type="dxa"/>
              <w:left w:w="90" w:type="dxa"/>
              <w:bottom w:w="60" w:type="dxa"/>
              <w:right w:w="90" w:type="dxa"/>
            </w:tcMar>
          </w:tcPr>
          <w:p w14:paraId="5DF04440">
            <w:pPr>
              <w:spacing w:before="40" w:after="40" w:line="240" w:lineRule="auto"/>
              <w:jc w:val="left"/>
            </w:pPr>
            <w:r>
              <w:rPr>
                <w:rFonts w:ascii="Calibri" w:hAnsi="Calibri" w:eastAsia="Calibri" w:cs="Calibri"/>
                <w:color w:val="1C2733"/>
                <w:sz w:val="16"/>
                <w:szCs w:val="16"/>
              </w:rPr>
              <w:t>Vaisvila 2021 Genome Research 31:1280 (EM-seq); Huang 2010 PLoS ONE; Nestor 2010 BioTechniques</w:t>
            </w:r>
          </w:p>
        </w:tc>
        <w:tc>
          <w:tcPr>
            <w:tcW w:w="5224" w:type="dxa"/>
            <w:tcMar>
              <w:top w:w="60" w:type="dxa"/>
              <w:left w:w="90" w:type="dxa"/>
              <w:bottom w:w="60" w:type="dxa"/>
              <w:right w:w="90" w:type="dxa"/>
            </w:tcMar>
          </w:tcPr>
          <w:p w14:paraId="7C8701B9">
            <w:pPr>
              <w:spacing w:before="40" w:after="40" w:line="240" w:lineRule="auto"/>
              <w:jc w:val="left"/>
            </w:pPr>
            <w:r>
              <w:rPr>
                <w:rFonts w:ascii="Calibri" w:hAnsi="Calibri" w:eastAsia="Calibri" w:cs="Calibri"/>
                <w:color w:val="1C2733"/>
                <w:sz w:val="16"/>
                <w:szCs w:val="16"/>
              </w:rPr>
              <w:t>REVISED. EM-seq fixes the DNA-damage and GC-bias problems of bisulfite, but neither method distinguishes 5mC from 5hmC — oxBS-seq or TAB-seq is required for that. The figure now says "cytosine modification", not "methylation".</w:t>
            </w:r>
          </w:p>
        </w:tc>
      </w:tr>
      <w:tr w14:paraId="212E194C">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shd w:val="clear" w:color="auto" w:fill="F6F8FA"/>
            <w:tcMar>
              <w:top w:w="60" w:type="dxa"/>
              <w:left w:w="90" w:type="dxa"/>
              <w:bottom w:w="60" w:type="dxa"/>
              <w:right w:w="90" w:type="dxa"/>
            </w:tcMar>
          </w:tcPr>
          <w:p w14:paraId="7DB46E78">
            <w:pPr>
              <w:spacing w:before="40" w:after="40" w:line="240" w:lineRule="auto"/>
              <w:jc w:val="left"/>
            </w:pPr>
            <w:r>
              <w:rPr>
                <w:rFonts w:ascii="Calibri" w:hAnsi="Calibri" w:eastAsia="Calibri" w:cs="Calibri"/>
                <w:color w:val="1C2733"/>
                <w:sz w:val="16"/>
                <w:szCs w:val="16"/>
              </w:rPr>
              <w:t>3D contact between element and promoter is evidence of regulation</w:t>
            </w:r>
          </w:p>
        </w:tc>
        <w:tc>
          <w:tcPr>
            <w:tcW w:w="2700" w:type="dxa"/>
            <w:shd w:val="clear" w:color="auto" w:fill="F6F8FA"/>
            <w:tcMar>
              <w:top w:w="60" w:type="dxa"/>
              <w:left w:w="90" w:type="dxa"/>
              <w:bottom w:w="60" w:type="dxa"/>
              <w:right w:w="90" w:type="dxa"/>
            </w:tcMar>
          </w:tcPr>
          <w:p w14:paraId="0CEEF754">
            <w:pPr>
              <w:spacing w:before="40" w:after="40" w:line="240" w:lineRule="auto"/>
              <w:jc w:val="left"/>
            </w:pPr>
            <w:r>
              <w:rPr>
                <w:rFonts w:ascii="Calibri" w:hAnsi="Calibri" w:eastAsia="Calibri" w:cs="Calibri"/>
                <w:color w:val="1C2733"/>
                <w:sz w:val="16"/>
                <w:szCs w:val="16"/>
              </w:rPr>
              <w:t>Rao 2017 Cell (RAD21 degron); Hsieh 2022 Nat Genet 54:1919; Alexander 2019 eLife 8:e41769</w:t>
            </w:r>
          </w:p>
        </w:tc>
        <w:tc>
          <w:tcPr>
            <w:tcW w:w="5224" w:type="dxa"/>
            <w:shd w:val="clear" w:color="auto" w:fill="F6F8FA"/>
            <w:tcMar>
              <w:top w:w="60" w:type="dxa"/>
              <w:left w:w="90" w:type="dxa"/>
              <w:bottom w:w="60" w:type="dxa"/>
              <w:right w:w="90" w:type="dxa"/>
            </w:tcMar>
          </w:tcPr>
          <w:p w14:paraId="6208FE2E">
            <w:pPr>
              <w:spacing w:before="40" w:after="40" w:line="240" w:lineRule="auto"/>
              <w:jc w:val="left"/>
            </w:pPr>
            <w:r>
              <w:rPr>
                <w:rFonts w:ascii="Calibri" w:hAnsi="Calibri" w:eastAsia="Calibri" w:cs="Calibri"/>
                <w:color w:val="1C2733"/>
                <w:sz w:val="16"/>
                <w:szCs w:val="16"/>
              </w:rPr>
              <w:t>REVISED. Enhancer–promoter interactions and transcription are largely maintained after acute loss of CTCF, cohesin, WAPL or YY1, and live imaging shows enhancer-dependent Sox2 transcription without enhancer proximity. Contact is now a targeting heuristic in my design, not evidence.</w:t>
            </w:r>
          </w:p>
        </w:tc>
      </w:tr>
      <w:tr w14:paraId="6E4762D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tcMar>
              <w:top w:w="60" w:type="dxa"/>
              <w:left w:w="90" w:type="dxa"/>
              <w:bottom w:w="60" w:type="dxa"/>
              <w:right w:w="90" w:type="dxa"/>
            </w:tcMar>
          </w:tcPr>
          <w:p w14:paraId="789AC025">
            <w:pPr>
              <w:spacing w:before="40" w:after="40" w:line="240" w:lineRule="auto"/>
              <w:jc w:val="left"/>
            </w:pPr>
            <w:r>
              <w:rPr>
                <w:rFonts w:ascii="Calibri" w:hAnsi="Calibri" w:eastAsia="Calibri" w:cs="Calibri"/>
                <w:color w:val="1C2733"/>
                <w:sz w:val="16"/>
                <w:szCs w:val="16"/>
              </w:rPr>
              <w:t>MPRA measures enhancer activity</w:t>
            </w:r>
          </w:p>
        </w:tc>
        <w:tc>
          <w:tcPr>
            <w:tcW w:w="2700" w:type="dxa"/>
            <w:tcMar>
              <w:top w:w="60" w:type="dxa"/>
              <w:left w:w="90" w:type="dxa"/>
              <w:bottom w:w="60" w:type="dxa"/>
              <w:right w:w="90" w:type="dxa"/>
            </w:tcMar>
          </w:tcPr>
          <w:p w14:paraId="3503E956">
            <w:pPr>
              <w:spacing w:before="40" w:after="40" w:line="240" w:lineRule="auto"/>
              <w:jc w:val="left"/>
            </w:pPr>
            <w:r>
              <w:rPr>
                <w:rFonts w:ascii="Calibri" w:hAnsi="Calibri" w:eastAsia="Calibri" w:cs="Calibri"/>
                <w:color w:val="1C2733"/>
                <w:sz w:val="16"/>
                <w:szCs w:val="16"/>
              </w:rPr>
              <w:t>Inoue 2017 Genome Research 27:38</w:t>
            </w:r>
          </w:p>
        </w:tc>
        <w:tc>
          <w:tcPr>
            <w:tcW w:w="5224" w:type="dxa"/>
            <w:tcMar>
              <w:top w:w="60" w:type="dxa"/>
              <w:left w:w="90" w:type="dxa"/>
              <w:bottom w:w="60" w:type="dxa"/>
              <w:right w:w="90" w:type="dxa"/>
            </w:tcMar>
          </w:tcPr>
          <w:p w14:paraId="4DC572DA">
            <w:pPr>
              <w:spacing w:before="40" w:after="40" w:line="240" w:lineRule="auto"/>
              <w:jc w:val="left"/>
            </w:pPr>
            <w:r>
              <w:rPr>
                <w:rFonts w:ascii="Calibri" w:hAnsi="Calibri" w:eastAsia="Calibri" w:cs="Calibri"/>
                <w:color w:val="1C2733"/>
                <w:sz w:val="16"/>
                <w:szCs w:val="16"/>
              </w:rPr>
              <w:t>QUALIFIED. Episomal and chromosomally integrated versions of the same library give substantially different activity measurements, so MPRA measures sequence potential in a defined context, not native-locus activity.</w:t>
            </w:r>
          </w:p>
        </w:tc>
      </w:tr>
      <w:tr w14:paraId="613AB9D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300" w:type="dxa"/>
            <w:shd w:val="clear" w:color="auto" w:fill="F6F8FA"/>
            <w:tcMar>
              <w:top w:w="60" w:type="dxa"/>
              <w:left w:w="90" w:type="dxa"/>
              <w:bottom w:w="60" w:type="dxa"/>
              <w:right w:w="90" w:type="dxa"/>
            </w:tcMar>
          </w:tcPr>
          <w:p w14:paraId="0476E8C6">
            <w:pPr>
              <w:spacing w:before="40" w:after="40" w:line="240" w:lineRule="auto"/>
              <w:jc w:val="left"/>
            </w:pPr>
            <w:r>
              <w:rPr>
                <w:rFonts w:ascii="Calibri" w:hAnsi="Calibri" w:eastAsia="Calibri" w:cs="Calibri"/>
                <w:color w:val="1C2733"/>
                <w:sz w:val="16"/>
                <w:szCs w:val="16"/>
              </w:rPr>
              <w:t>CRISPRi is element-specific</w:t>
            </w:r>
          </w:p>
        </w:tc>
        <w:tc>
          <w:tcPr>
            <w:tcW w:w="2700" w:type="dxa"/>
            <w:shd w:val="clear" w:color="auto" w:fill="F6F8FA"/>
            <w:tcMar>
              <w:top w:w="60" w:type="dxa"/>
              <w:left w:w="90" w:type="dxa"/>
              <w:bottom w:w="60" w:type="dxa"/>
              <w:right w:w="90" w:type="dxa"/>
            </w:tcMar>
          </w:tcPr>
          <w:p w14:paraId="09F33AA6">
            <w:pPr>
              <w:spacing w:before="40" w:after="40" w:line="240" w:lineRule="auto"/>
              <w:jc w:val="left"/>
            </w:pPr>
            <w:r>
              <w:rPr>
                <w:rFonts w:ascii="Calibri" w:hAnsi="Calibri" w:eastAsia="Calibri" w:cs="Calibri"/>
                <w:color w:val="1C2733"/>
                <w:sz w:val="16"/>
                <w:szCs w:val="16"/>
              </w:rPr>
              <w:t>Fulco 2016 Science; Fulco 2019 Nat Genet (ABC); Gasperini 2019 Cell; Lensch 2022 eLife 11:e75115</w:t>
            </w:r>
          </w:p>
        </w:tc>
        <w:tc>
          <w:tcPr>
            <w:tcW w:w="5224" w:type="dxa"/>
            <w:shd w:val="clear" w:color="auto" w:fill="F6F8FA"/>
            <w:tcMar>
              <w:top w:w="60" w:type="dxa"/>
              <w:left w:w="90" w:type="dxa"/>
              <w:bottom w:w="60" w:type="dxa"/>
              <w:right w:w="90" w:type="dxa"/>
            </w:tcMar>
          </w:tcPr>
          <w:p w14:paraId="1AF14C6E">
            <w:pPr>
              <w:spacing w:before="40" w:after="40" w:line="240" w:lineRule="auto"/>
              <w:jc w:val="left"/>
            </w:pPr>
            <w:r>
              <w:rPr>
                <w:rFonts w:ascii="Calibri" w:hAnsi="Calibri" w:eastAsia="Calibri" w:cs="Calibri"/>
                <w:color w:val="1C2733"/>
                <w:sz w:val="16"/>
                <w:szCs w:val="16"/>
              </w:rPr>
              <w:t>QUALIFIED. CRISPRi mapping of enhancer–promoter connections is well established, but KRAB-mediated silencing spreads: H3K9me3 extends tens of kilobases and can silence a neighbouring gene across a 5 kb spacer. Distance-matched control sgRNAs and a neighbouring-gene read-out are now mandatory parts of my design.</w:t>
            </w:r>
          </w:p>
        </w:tc>
      </w:tr>
    </w:tbl>
    <w:p w14:paraId="7A182C4A">
      <w:pPr>
        <w:pStyle w:val="3"/>
        <w:spacing w:before="260" w:after="100"/>
      </w:pPr>
      <w:r>
        <w:rPr>
          <w:rFonts w:ascii="Calibri" w:hAnsi="Calibri" w:eastAsia="Calibri" w:cs="Calibri"/>
          <w:b/>
          <w:bCs/>
          <w:color w:val="1C2733"/>
          <w:sz w:val="24"/>
          <w:szCs w:val="24"/>
        </w:rPr>
        <w:t>4.  Final conclusion</w:t>
      </w:r>
    </w:p>
    <w:p w14:paraId="0016FC76">
      <w:pPr>
        <w:spacing w:before="160" w:after="60"/>
        <w:jc w:val="center"/>
      </w:pPr>
      <w:r>
        <w:drawing>
          <wp:inline distT="0" distB="0" distL="0" distR="0">
            <wp:extent cx="4554220" cy="5347970"/>
            <wp:effectExtent l="0" t="0" r="825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4554220" cy="5347970"/>
                    </a:xfrm>
                    <a:prstGeom prst="rect">
                      <a:avLst/>
                    </a:prstGeom>
                  </pic:spPr>
                </pic:pic>
              </a:graphicData>
            </a:graphic>
          </wp:inline>
        </w:drawing>
      </w:r>
    </w:p>
    <w:p w14:paraId="2F30602E">
      <w:pPr>
        <w:spacing w:before="0" w:after="200"/>
        <w:jc w:val="center"/>
      </w:pPr>
      <w:r>
        <w:rPr>
          <w:rFonts w:ascii="Calibri" w:hAnsi="Calibri" w:eastAsia="Calibri" w:cs="Calibri"/>
          <w:i/>
          <w:iCs/>
          <w:color w:val="5A6672"/>
          <w:sz w:val="17"/>
          <w:szCs w:val="17"/>
        </w:rPr>
        <w:t>Figure 1. Assay-selection strategy. Tier 0 confirms and localises the phenotype; Tier 1 maps the regulatory layer and genotypes the locus; Tier 2 converts correlation into causation. Each assay box carries what it measures and what it cannot prove.</w:t>
      </w:r>
    </w:p>
    <w:p w14:paraId="213EF462">
      <w:pPr>
        <w:pStyle w:val="4"/>
        <w:spacing w:before="200" w:after="80"/>
      </w:pPr>
      <w:r>
        <w:rPr>
          <w:rFonts w:ascii="Calibri" w:hAnsi="Calibri" w:eastAsia="Calibri" w:cs="Calibri"/>
          <w:b/>
          <w:bCs/>
          <w:color w:val="4A7C3F"/>
          <w:sz w:val="21"/>
          <w:szCs w:val="21"/>
        </w:rPr>
        <w:t>~200-word explanation: what each assay measures, what it cannot prove, how they complement each other</w:t>
      </w:r>
    </w:p>
    <w:p w14:paraId="02B68BC2">
      <w:pPr>
        <w:spacing w:before="60" w:after="100" w:line="276" w:lineRule="auto"/>
        <w:jc w:val="left"/>
      </w:pPr>
      <w:r>
        <w:rPr>
          <w:rFonts w:ascii="Calibri" w:hAnsi="Calibri" w:eastAsia="Calibri" w:cs="Calibri"/>
          <w:color w:val="1C2733"/>
          <w:sz w:val="21"/>
          <w:szCs w:val="21"/>
        </w:rPr>
        <w:t>Each assay reports one physical quantity. RNA-seq measures steady-state transcript abundance; CAGE/RAMPAGE measures where transcription starts. ATAC-seq measures Tn5 accessibility — where DNA is nucleosome-free. ChIP-seq, CUT&amp;RUN and CUT&amp;Tag measure occupancy of a specific protein or histone modification. WGBS and EM-seq measure cytosine modification at CpG resolution. Hi-C and Micro-C measure ligation-derived contact frequency. WGS measures sequence. None of these measures function. Accessibility cannot name the transcription factor or the target gene; H3K27ac marks active enhancers but is dispensable for their activity, so it reports state rather than function; methylation cannot be assigned as cause or consequence and cannot separate 5mC from 5hmC; contact frequency largely pre-exists activation and persists after acute cohesin or CTCF loss; a variant from WGS is a candidate, not a mechanism. They complement each other by constraining different parts of one model: WGS supplies the variant, ATAC nominates the element, CUT&amp;Tag and EM-seq describe its state, Micro-C links it to a promoter, and RNA-seq supplies the phenotype that must be explained. Only perturbation — MPRA for the allele, CRISPRi or deletion for the element — converts that chain into a causal claim.</w:t>
      </w:r>
    </w:p>
    <w:p w14:paraId="6681D2D9">
      <w:pPr>
        <w:pBdr>
          <w:left w:val="single" w:color="2B6CA3" w:sz="18" w:space="8"/>
        </w:pBdr>
        <w:shd w:val="clear" w:fill="EAF1F7"/>
        <w:spacing w:before="180" w:after="180" w:line="276" w:lineRule="auto"/>
        <w:ind w:left="200" w:right="200"/>
      </w:pPr>
      <w:r>
        <w:rPr>
          <w:rFonts w:ascii="Calibri" w:hAnsi="Calibri" w:eastAsia="Calibri" w:cs="Calibri"/>
          <w:b/>
          <w:bCs/>
          <w:color w:val="15405F"/>
          <w:sz w:val="21"/>
          <w:szCs w:val="21"/>
        </w:rPr>
        <w:t>The biological question chooses the assay because… each assay measures one physical quantity, not a mechanism, so the assay is only informative when the question has been narrowed to the layer that quantity actually reports on; running them in the order that the question dictates turns each result into the argument for the next experiment, whereas running them in parallel without a question yields correlations that no amount of data can promote into causation.</w:t>
      </w:r>
    </w:p>
    <w:p w14:paraId="086A3C8B">
      <w:r>
        <w:br w:type="page"/>
      </w:r>
    </w:p>
    <w:p w14:paraId="2DE5C3CD">
      <w:pPr>
        <w:pStyle w:val="2"/>
        <w:pBdr>
          <w:bottom w:val="single" w:color="2B6CA3" w:sz="10" w:space="4"/>
        </w:pBdr>
        <w:spacing w:before="320" w:after="140"/>
      </w:pPr>
      <w:r>
        <w:rPr>
          <w:rFonts w:ascii="Calibri" w:hAnsi="Calibri" w:eastAsia="Calibri" w:cs="Calibri"/>
          <w:b/>
          <w:bCs/>
          <w:color w:val="2B6CA3"/>
          <w:sz w:val="28"/>
          <w:szCs w:val="28"/>
        </w:rPr>
        <w:t xml:space="preserve">Question 2 — From FASTQ to a Trustworthy Analysis Workflow </w:t>
      </w:r>
    </w:p>
    <w:p w14:paraId="26D091AC">
      <w:pPr>
        <w:pStyle w:val="3"/>
        <w:spacing w:before="260" w:after="100"/>
      </w:pPr>
      <w:r>
        <w:rPr>
          <w:rFonts w:ascii="Calibri" w:hAnsi="Calibri" w:eastAsia="Calibri" w:cs="Calibri"/>
          <w:b/>
          <w:bCs/>
          <w:color w:val="1C2733"/>
          <w:sz w:val="24"/>
          <w:szCs w:val="24"/>
        </w:rPr>
        <w:t>1.  My reasoning before AI</w:t>
      </w:r>
    </w:p>
    <w:p w14:paraId="790A272F">
      <w:pPr>
        <w:spacing w:before="60" w:after="100" w:line="276" w:lineRule="auto"/>
        <w:jc w:val="left"/>
      </w:pPr>
      <w:r>
        <w:rPr>
          <w:rFonts w:ascii="Calibri" w:hAnsi="Calibri" w:eastAsia="Calibri" w:cs="Calibri"/>
          <w:color w:val="1C2733"/>
          <w:sz w:val="21"/>
          <w:szCs w:val="21"/>
        </w:rPr>
        <w:t>My own workflow, written before prompting, and the purpose of each step:</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1900"/>
        <w:gridCol w:w="5424"/>
        <w:gridCol w:w="2900"/>
      </w:tblGrid>
      <w:tr w14:paraId="3F38B95B">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PrEx>
        <w:trPr>
          <w:tblHeader/>
        </w:trPr>
        <w:tc>
          <w:tcPr>
            <w:tcW w:w="1900" w:type="dxa"/>
            <w:shd w:val="clear" w:color="auto" w:fill="DCE7F1"/>
            <w:tcMar>
              <w:top w:w="60" w:type="dxa"/>
              <w:left w:w="90" w:type="dxa"/>
              <w:bottom w:w="60" w:type="dxa"/>
              <w:right w:w="90" w:type="dxa"/>
            </w:tcMar>
          </w:tcPr>
          <w:p w14:paraId="6CB76FCB">
            <w:pPr>
              <w:spacing w:before="40" w:after="40" w:line="240" w:lineRule="auto"/>
              <w:jc w:val="left"/>
            </w:pPr>
            <w:r>
              <w:rPr>
                <w:rFonts w:ascii="Calibri" w:hAnsi="Calibri" w:eastAsia="Calibri" w:cs="Calibri"/>
                <w:b/>
                <w:bCs/>
                <w:color w:val="1C2733"/>
                <w:sz w:val="16"/>
                <w:szCs w:val="16"/>
              </w:rPr>
              <w:t>Step</w:t>
            </w:r>
          </w:p>
        </w:tc>
        <w:tc>
          <w:tcPr>
            <w:tcW w:w="5424" w:type="dxa"/>
            <w:shd w:val="clear" w:color="auto" w:fill="DCE7F1"/>
            <w:tcMar>
              <w:top w:w="60" w:type="dxa"/>
              <w:left w:w="90" w:type="dxa"/>
              <w:bottom w:w="60" w:type="dxa"/>
              <w:right w:w="90" w:type="dxa"/>
            </w:tcMar>
          </w:tcPr>
          <w:p w14:paraId="7ED9046F">
            <w:pPr>
              <w:spacing w:before="40" w:after="40" w:line="240" w:lineRule="auto"/>
              <w:jc w:val="left"/>
            </w:pPr>
            <w:r>
              <w:rPr>
                <w:rFonts w:ascii="Calibri" w:hAnsi="Calibri" w:eastAsia="Calibri" w:cs="Calibri"/>
                <w:b/>
                <w:bCs/>
                <w:color w:val="1C2733"/>
                <w:sz w:val="16"/>
                <w:szCs w:val="16"/>
              </w:rPr>
              <w:t>Purpose — why this step exists</w:t>
            </w:r>
          </w:p>
        </w:tc>
        <w:tc>
          <w:tcPr>
            <w:tcW w:w="2900" w:type="dxa"/>
            <w:shd w:val="clear" w:color="auto" w:fill="DCE7F1"/>
            <w:tcMar>
              <w:top w:w="60" w:type="dxa"/>
              <w:left w:w="90" w:type="dxa"/>
              <w:bottom w:w="60" w:type="dxa"/>
              <w:right w:w="90" w:type="dxa"/>
            </w:tcMar>
          </w:tcPr>
          <w:p w14:paraId="33CBBA7E">
            <w:pPr>
              <w:spacing w:before="40" w:after="40" w:line="240" w:lineRule="auto"/>
              <w:jc w:val="left"/>
            </w:pPr>
            <w:r>
              <w:rPr>
                <w:rFonts w:ascii="Calibri" w:hAnsi="Calibri" w:eastAsia="Calibri" w:cs="Calibri"/>
                <w:b/>
                <w:bCs/>
                <w:color w:val="1C2733"/>
                <w:sz w:val="16"/>
                <w:szCs w:val="16"/>
              </w:rPr>
              <w:t>Output / checkpoint</w:t>
            </w:r>
          </w:p>
        </w:tc>
      </w:tr>
      <w:tr w14:paraId="776B3196">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74FA1DA6">
            <w:pPr>
              <w:spacing w:before="40" w:after="40" w:line="240" w:lineRule="auto"/>
              <w:jc w:val="left"/>
            </w:pPr>
            <w:r>
              <w:rPr>
                <w:rFonts w:ascii="Calibri" w:hAnsi="Calibri" w:eastAsia="Calibri" w:cs="Calibri"/>
                <w:color w:val="1C2733"/>
                <w:sz w:val="16"/>
                <w:szCs w:val="16"/>
              </w:rPr>
              <w:t>1. FASTQ quality control</w:t>
            </w:r>
          </w:p>
        </w:tc>
        <w:tc>
          <w:tcPr>
            <w:tcW w:w="5424" w:type="dxa"/>
            <w:tcMar>
              <w:top w:w="60" w:type="dxa"/>
              <w:left w:w="90" w:type="dxa"/>
              <w:bottom w:w="60" w:type="dxa"/>
              <w:right w:w="90" w:type="dxa"/>
            </w:tcMar>
          </w:tcPr>
          <w:p w14:paraId="55C76C9E">
            <w:pPr>
              <w:spacing w:before="40" w:after="40" w:line="240" w:lineRule="auto"/>
              <w:jc w:val="left"/>
            </w:pPr>
            <w:r>
              <w:rPr>
                <w:rFonts w:ascii="Calibri" w:hAnsi="Calibri" w:eastAsia="Calibri" w:cs="Calibri"/>
                <w:color w:val="1C2733"/>
                <w:sz w:val="16"/>
                <w:szCs w:val="16"/>
              </w:rPr>
              <w:t>Decide whether the library is usable at all, and discover what has to be corrected before anything downstream can be trusted. QC is read against the assay: high duplication is alarming in WGS and normal in a deeply sequenced RNA-seq library.</w:t>
            </w:r>
          </w:p>
        </w:tc>
        <w:tc>
          <w:tcPr>
            <w:tcW w:w="2900" w:type="dxa"/>
            <w:tcMar>
              <w:top w:w="60" w:type="dxa"/>
              <w:left w:w="90" w:type="dxa"/>
              <w:bottom w:w="60" w:type="dxa"/>
              <w:right w:w="90" w:type="dxa"/>
            </w:tcMar>
          </w:tcPr>
          <w:p w14:paraId="3EE9239B">
            <w:pPr>
              <w:spacing w:before="40" w:after="40" w:line="240" w:lineRule="auto"/>
              <w:jc w:val="left"/>
            </w:pPr>
            <w:r>
              <w:rPr>
                <w:rFonts w:ascii="Calibri" w:hAnsi="Calibri" w:eastAsia="Calibri" w:cs="Calibri"/>
                <w:color w:val="1C2733"/>
                <w:sz w:val="16"/>
                <w:szCs w:val="16"/>
              </w:rPr>
              <w:t>FastQC + MultiQC HTML; a go/no-go decision</w:t>
            </w:r>
          </w:p>
        </w:tc>
      </w:tr>
      <w:tr w14:paraId="71CFE87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6A31227C">
            <w:pPr>
              <w:spacing w:before="40" w:after="40" w:line="240" w:lineRule="auto"/>
              <w:jc w:val="left"/>
            </w:pPr>
            <w:r>
              <w:rPr>
                <w:rFonts w:ascii="Calibri" w:hAnsi="Calibri" w:eastAsia="Calibri" w:cs="Calibri"/>
                <w:color w:val="1C2733"/>
                <w:sz w:val="16"/>
                <w:szCs w:val="16"/>
              </w:rPr>
              <w:t>2. Reference genome selection</w:t>
            </w:r>
          </w:p>
        </w:tc>
        <w:tc>
          <w:tcPr>
            <w:tcW w:w="5424" w:type="dxa"/>
            <w:shd w:val="clear" w:color="auto" w:fill="F6F8FA"/>
            <w:tcMar>
              <w:top w:w="60" w:type="dxa"/>
              <w:left w:w="90" w:type="dxa"/>
              <w:bottom w:w="60" w:type="dxa"/>
              <w:right w:w="90" w:type="dxa"/>
            </w:tcMar>
          </w:tcPr>
          <w:p w14:paraId="63AC53FC">
            <w:pPr>
              <w:spacing w:before="40" w:after="40" w:line="240" w:lineRule="auto"/>
              <w:jc w:val="left"/>
            </w:pPr>
            <w:r>
              <w:rPr>
                <w:rFonts w:ascii="Calibri" w:hAnsi="Calibri" w:eastAsia="Calibri" w:cs="Calibri"/>
                <w:color w:val="1C2733"/>
                <w:sz w:val="16"/>
                <w:szCs w:val="16"/>
              </w:rPr>
              <w:t>Fix the coordinate system for every downstream file. If the build is not declared, coordinates, annotations and databases silently disagree — which is precisely the failure mode present in the Question 4 table.</w:t>
            </w:r>
          </w:p>
        </w:tc>
        <w:tc>
          <w:tcPr>
            <w:tcW w:w="2900" w:type="dxa"/>
            <w:shd w:val="clear" w:color="auto" w:fill="F6F8FA"/>
            <w:tcMar>
              <w:top w:w="60" w:type="dxa"/>
              <w:left w:w="90" w:type="dxa"/>
              <w:bottom w:w="60" w:type="dxa"/>
              <w:right w:w="90" w:type="dxa"/>
            </w:tcMar>
          </w:tcPr>
          <w:p w14:paraId="2BC41F7C">
            <w:pPr>
              <w:spacing w:before="40" w:after="40" w:line="240" w:lineRule="auto"/>
              <w:jc w:val="left"/>
            </w:pPr>
            <w:r>
              <w:rPr>
                <w:rFonts w:ascii="Calibri" w:hAnsi="Calibri" w:eastAsia="Calibri" w:cs="Calibri"/>
                <w:color w:val="1C2733"/>
                <w:sz w:val="16"/>
                <w:szCs w:val="16"/>
              </w:rPr>
              <w:t>GRCh38 no-ALT analysis set + GENCODE GTF; build and release recorded</w:t>
            </w:r>
          </w:p>
        </w:tc>
      </w:tr>
      <w:tr w14:paraId="69D004C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78226758">
            <w:pPr>
              <w:spacing w:before="40" w:after="40" w:line="240" w:lineRule="auto"/>
              <w:jc w:val="left"/>
            </w:pPr>
            <w:r>
              <w:rPr>
                <w:rFonts w:ascii="Calibri" w:hAnsi="Calibri" w:eastAsia="Calibri" w:cs="Calibri"/>
                <w:color w:val="1C2733"/>
                <w:sz w:val="16"/>
                <w:szCs w:val="16"/>
              </w:rPr>
              <w:t>3. Alignment</w:t>
            </w:r>
          </w:p>
        </w:tc>
        <w:tc>
          <w:tcPr>
            <w:tcW w:w="5424" w:type="dxa"/>
            <w:tcMar>
              <w:top w:w="60" w:type="dxa"/>
              <w:left w:w="90" w:type="dxa"/>
              <w:bottom w:w="60" w:type="dxa"/>
              <w:right w:w="90" w:type="dxa"/>
            </w:tcMar>
          </w:tcPr>
          <w:p w14:paraId="621607CB">
            <w:pPr>
              <w:spacing w:before="40" w:after="40" w:line="240" w:lineRule="auto"/>
              <w:jc w:val="left"/>
            </w:pPr>
            <w:r>
              <w:rPr>
                <w:rFonts w:ascii="Calibri" w:hAnsi="Calibri" w:eastAsia="Calibri" w:cs="Calibri"/>
                <w:color w:val="1C2733"/>
                <w:sz w:val="16"/>
                <w:szCs w:val="16"/>
              </w:rPr>
              <w:t>Place reads on that coordinate system with an aligner suited to the molecule: DNA reads are contiguous, RNA reads are spliced, ATAC reads are short and Tn5-shifted.</w:t>
            </w:r>
          </w:p>
        </w:tc>
        <w:tc>
          <w:tcPr>
            <w:tcW w:w="2900" w:type="dxa"/>
            <w:tcMar>
              <w:top w:w="60" w:type="dxa"/>
              <w:left w:w="90" w:type="dxa"/>
              <w:bottom w:w="60" w:type="dxa"/>
              <w:right w:w="90" w:type="dxa"/>
            </w:tcMar>
          </w:tcPr>
          <w:p w14:paraId="06BDA714">
            <w:pPr>
              <w:spacing w:before="40" w:after="40" w:line="240" w:lineRule="auto"/>
              <w:jc w:val="left"/>
            </w:pPr>
            <w:r>
              <w:rPr>
                <w:rFonts w:ascii="Calibri" w:hAnsi="Calibri" w:eastAsia="Calibri" w:cs="Calibri"/>
                <w:color w:val="1C2733"/>
                <w:sz w:val="16"/>
                <w:szCs w:val="16"/>
              </w:rPr>
              <w:t>Coordinate-sorted BAM with complete @RG lines; mapping-rate check</w:t>
            </w:r>
          </w:p>
        </w:tc>
      </w:tr>
      <w:tr w14:paraId="0B0B569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549D5445">
            <w:pPr>
              <w:spacing w:before="40" w:after="40" w:line="240" w:lineRule="auto"/>
              <w:jc w:val="left"/>
            </w:pPr>
            <w:r>
              <w:rPr>
                <w:rFonts w:ascii="Calibri" w:hAnsi="Calibri" w:eastAsia="Calibri" w:cs="Calibri"/>
                <w:color w:val="1C2733"/>
                <w:sz w:val="16"/>
                <w:szCs w:val="16"/>
              </w:rPr>
              <w:t>4. Mapped-read processing</w:t>
            </w:r>
          </w:p>
        </w:tc>
        <w:tc>
          <w:tcPr>
            <w:tcW w:w="5424" w:type="dxa"/>
            <w:shd w:val="clear" w:color="auto" w:fill="F6F8FA"/>
            <w:tcMar>
              <w:top w:w="60" w:type="dxa"/>
              <w:left w:w="90" w:type="dxa"/>
              <w:bottom w:w="60" w:type="dxa"/>
              <w:right w:w="90" w:type="dxa"/>
            </w:tcMar>
          </w:tcPr>
          <w:p w14:paraId="00DC67D7">
            <w:pPr>
              <w:spacing w:before="40" w:after="40" w:line="240" w:lineRule="auto"/>
              <w:jc w:val="left"/>
            </w:pPr>
            <w:r>
              <w:rPr>
                <w:rFonts w:ascii="Calibri" w:hAnsi="Calibri" w:eastAsia="Calibri" w:cs="Calibri"/>
                <w:color w:val="1C2733"/>
                <w:sz w:val="16"/>
                <w:szCs w:val="16"/>
              </w:rPr>
              <w:t>Remove or model the artefacts that alignment introduces or exposes: PCR duplicates, systematic base-quality error, contamination, coverage dropout.</w:t>
            </w:r>
          </w:p>
        </w:tc>
        <w:tc>
          <w:tcPr>
            <w:tcW w:w="2900" w:type="dxa"/>
            <w:shd w:val="clear" w:color="auto" w:fill="F6F8FA"/>
            <w:tcMar>
              <w:top w:w="60" w:type="dxa"/>
              <w:left w:w="90" w:type="dxa"/>
              <w:bottom w:w="60" w:type="dxa"/>
              <w:right w:w="90" w:type="dxa"/>
            </w:tcMar>
          </w:tcPr>
          <w:p w14:paraId="693BD7A0">
            <w:pPr>
              <w:spacing w:before="40" w:after="40" w:line="240" w:lineRule="auto"/>
              <w:jc w:val="left"/>
            </w:pPr>
            <w:r>
              <w:rPr>
                <w:rFonts w:ascii="Calibri" w:hAnsi="Calibri" w:eastAsia="Calibri" w:cs="Calibri"/>
                <w:color w:val="1C2733"/>
                <w:sz w:val="16"/>
                <w:szCs w:val="16"/>
              </w:rPr>
              <w:t>Analysis-ready BAM/CRAM; depth, duplicate and contamination metrics</w:t>
            </w:r>
          </w:p>
        </w:tc>
      </w:tr>
      <w:tr w14:paraId="25AE99D0">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5780C974">
            <w:pPr>
              <w:spacing w:before="40" w:after="40" w:line="240" w:lineRule="auto"/>
              <w:jc w:val="left"/>
            </w:pPr>
            <w:r>
              <w:rPr>
                <w:rFonts w:ascii="Calibri" w:hAnsi="Calibri" w:eastAsia="Calibri" w:cs="Calibri"/>
                <w:color w:val="1C2733"/>
                <w:sz w:val="16"/>
                <w:szCs w:val="16"/>
              </w:rPr>
              <w:t>5. Assay-specific downstream analysis</w:t>
            </w:r>
          </w:p>
        </w:tc>
        <w:tc>
          <w:tcPr>
            <w:tcW w:w="5424" w:type="dxa"/>
            <w:tcMar>
              <w:top w:w="60" w:type="dxa"/>
              <w:left w:w="90" w:type="dxa"/>
              <w:bottom w:w="60" w:type="dxa"/>
              <w:right w:w="90" w:type="dxa"/>
            </w:tcMar>
          </w:tcPr>
          <w:p w14:paraId="664085A8">
            <w:pPr>
              <w:spacing w:before="40" w:after="40" w:line="240" w:lineRule="auto"/>
              <w:jc w:val="left"/>
            </w:pPr>
            <w:r>
              <w:rPr>
                <w:rFonts w:ascii="Calibri" w:hAnsi="Calibri" w:eastAsia="Calibri" w:cs="Calibri"/>
                <w:color w:val="1C2733"/>
                <w:sz w:val="16"/>
                <w:szCs w:val="16"/>
              </w:rPr>
              <w:t>Turn reads into the measurement the experiment was for — variants (WGS), counts (RNA-seq), peaks (ATAC/ChIP).</w:t>
            </w:r>
          </w:p>
        </w:tc>
        <w:tc>
          <w:tcPr>
            <w:tcW w:w="2900" w:type="dxa"/>
            <w:tcMar>
              <w:top w:w="60" w:type="dxa"/>
              <w:left w:w="90" w:type="dxa"/>
              <w:bottom w:w="60" w:type="dxa"/>
              <w:right w:w="90" w:type="dxa"/>
            </w:tcMar>
          </w:tcPr>
          <w:p w14:paraId="79D7508C">
            <w:pPr>
              <w:spacing w:before="40" w:after="40" w:line="240" w:lineRule="auto"/>
              <w:jc w:val="left"/>
            </w:pPr>
            <w:r>
              <w:rPr>
                <w:rFonts w:ascii="Calibri" w:hAnsi="Calibri" w:eastAsia="Calibri" w:cs="Calibri"/>
                <w:color w:val="1C2733"/>
                <w:sz w:val="16"/>
                <w:szCs w:val="16"/>
              </w:rPr>
              <w:t>VCF / count matrix / peak set</w:t>
            </w:r>
          </w:p>
        </w:tc>
      </w:tr>
      <w:tr w14:paraId="5D625008">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1F42CC5A">
            <w:pPr>
              <w:spacing w:before="40" w:after="40" w:line="240" w:lineRule="auto"/>
              <w:jc w:val="left"/>
            </w:pPr>
            <w:r>
              <w:rPr>
                <w:rFonts w:ascii="Calibri" w:hAnsi="Calibri" w:eastAsia="Calibri" w:cs="Calibri"/>
                <w:color w:val="1C2733"/>
                <w:sz w:val="16"/>
                <w:szCs w:val="16"/>
              </w:rPr>
              <w:t>6. Annotation</w:t>
            </w:r>
          </w:p>
        </w:tc>
        <w:tc>
          <w:tcPr>
            <w:tcW w:w="5424" w:type="dxa"/>
            <w:shd w:val="clear" w:color="auto" w:fill="F6F8FA"/>
            <w:tcMar>
              <w:top w:w="60" w:type="dxa"/>
              <w:left w:w="90" w:type="dxa"/>
              <w:bottom w:w="60" w:type="dxa"/>
              <w:right w:w="90" w:type="dxa"/>
            </w:tcMar>
          </w:tcPr>
          <w:p w14:paraId="6165A48C">
            <w:pPr>
              <w:spacing w:before="40" w:after="40" w:line="240" w:lineRule="auto"/>
              <w:jc w:val="left"/>
            </w:pPr>
            <w:r>
              <w:rPr>
                <w:rFonts w:ascii="Calibri" w:hAnsi="Calibri" w:eastAsia="Calibri" w:cs="Calibri"/>
                <w:color w:val="1C2733"/>
                <w:sz w:val="16"/>
                <w:szCs w:val="16"/>
              </w:rPr>
              <w:t>Attach biological and population meaning to the raw coordinates, in the same build, with the transcript named.</w:t>
            </w:r>
          </w:p>
        </w:tc>
        <w:tc>
          <w:tcPr>
            <w:tcW w:w="2900" w:type="dxa"/>
            <w:shd w:val="clear" w:color="auto" w:fill="F6F8FA"/>
            <w:tcMar>
              <w:top w:w="60" w:type="dxa"/>
              <w:left w:w="90" w:type="dxa"/>
              <w:bottom w:w="60" w:type="dxa"/>
              <w:right w:w="90" w:type="dxa"/>
            </w:tcMar>
          </w:tcPr>
          <w:p w14:paraId="432F0B91">
            <w:pPr>
              <w:spacing w:before="40" w:after="40" w:line="240" w:lineRule="auto"/>
              <w:jc w:val="left"/>
            </w:pPr>
            <w:r>
              <w:rPr>
                <w:rFonts w:ascii="Calibri" w:hAnsi="Calibri" w:eastAsia="Calibri" w:cs="Calibri"/>
                <w:color w:val="1C2733"/>
                <w:sz w:val="16"/>
                <w:szCs w:val="16"/>
              </w:rPr>
              <w:t>Annotated VCF/TSV with MANE transcript, HGVS, gnomAD and ClinVar fields</w:t>
            </w:r>
          </w:p>
        </w:tc>
      </w:tr>
      <w:tr w14:paraId="2203784C">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5A91E0F9">
            <w:pPr>
              <w:spacing w:before="40" w:after="40" w:line="240" w:lineRule="auto"/>
              <w:jc w:val="left"/>
            </w:pPr>
            <w:r>
              <w:rPr>
                <w:rFonts w:ascii="Calibri" w:hAnsi="Calibri" w:eastAsia="Calibri" w:cs="Calibri"/>
                <w:color w:val="1C2733"/>
                <w:sz w:val="16"/>
                <w:szCs w:val="16"/>
              </w:rPr>
              <w:t>7. Visualisation</w:t>
            </w:r>
          </w:p>
        </w:tc>
        <w:tc>
          <w:tcPr>
            <w:tcW w:w="5424" w:type="dxa"/>
            <w:tcMar>
              <w:top w:w="60" w:type="dxa"/>
              <w:left w:w="90" w:type="dxa"/>
              <w:bottom w:w="60" w:type="dxa"/>
              <w:right w:w="90" w:type="dxa"/>
            </w:tcMar>
          </w:tcPr>
          <w:p w14:paraId="6F9BDE3D">
            <w:pPr>
              <w:spacing w:before="40" w:after="40" w:line="240" w:lineRule="auto"/>
              <w:jc w:val="left"/>
            </w:pPr>
            <w:r>
              <w:rPr>
                <w:rFonts w:ascii="Calibri" w:hAnsi="Calibri" w:eastAsia="Calibri" w:cs="Calibri"/>
                <w:color w:val="1C2733"/>
                <w:sz w:val="16"/>
                <w:szCs w:val="16"/>
              </w:rPr>
              <w:t>Look at the evidence directly. Most false positives are visible in a pile-up and invisible in a table.</w:t>
            </w:r>
          </w:p>
        </w:tc>
        <w:tc>
          <w:tcPr>
            <w:tcW w:w="2900" w:type="dxa"/>
            <w:tcMar>
              <w:top w:w="60" w:type="dxa"/>
              <w:left w:w="90" w:type="dxa"/>
              <w:bottom w:w="60" w:type="dxa"/>
              <w:right w:w="90" w:type="dxa"/>
            </w:tcMar>
          </w:tcPr>
          <w:p w14:paraId="5EC7A77E">
            <w:pPr>
              <w:spacing w:before="40" w:after="40" w:line="240" w:lineRule="auto"/>
              <w:jc w:val="left"/>
            </w:pPr>
            <w:r>
              <w:rPr>
                <w:rFonts w:ascii="Calibri" w:hAnsi="Calibri" w:eastAsia="Calibri" w:cs="Calibri"/>
                <w:color w:val="1C2733"/>
                <w:sz w:val="16"/>
                <w:szCs w:val="16"/>
              </w:rPr>
              <w:t>IGV screenshots per reported locus; MultiQC report</w:t>
            </w:r>
          </w:p>
        </w:tc>
      </w:tr>
      <w:tr w14:paraId="6ECC2B60">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2F6AB50F">
            <w:pPr>
              <w:spacing w:before="40" w:after="40" w:line="240" w:lineRule="auto"/>
              <w:jc w:val="left"/>
            </w:pPr>
            <w:r>
              <w:rPr>
                <w:rFonts w:ascii="Calibri" w:hAnsi="Calibri" w:eastAsia="Calibri" w:cs="Calibri"/>
                <w:color w:val="1C2733"/>
                <w:sz w:val="16"/>
                <w:szCs w:val="16"/>
              </w:rPr>
              <w:t>8. Interpretation</w:t>
            </w:r>
          </w:p>
        </w:tc>
        <w:tc>
          <w:tcPr>
            <w:tcW w:w="5424" w:type="dxa"/>
            <w:shd w:val="clear" w:color="auto" w:fill="F6F8FA"/>
            <w:tcMar>
              <w:top w:w="60" w:type="dxa"/>
              <w:left w:w="90" w:type="dxa"/>
              <w:bottom w:w="60" w:type="dxa"/>
              <w:right w:w="90" w:type="dxa"/>
            </w:tcMar>
          </w:tcPr>
          <w:p w14:paraId="66BEF56C">
            <w:pPr>
              <w:spacing w:before="40" w:after="40" w:line="240" w:lineRule="auto"/>
              <w:jc w:val="left"/>
            </w:pPr>
            <w:r>
              <w:rPr>
                <w:rFonts w:ascii="Calibri" w:hAnsi="Calibri" w:eastAsia="Calibri" w:cs="Calibri"/>
                <w:color w:val="1C2733"/>
                <w:sz w:val="16"/>
                <w:szCs w:val="16"/>
              </w:rPr>
              <w:t>State what the data support, what they cannot distinguish, and which experiment would distinguish it.</w:t>
            </w:r>
          </w:p>
        </w:tc>
        <w:tc>
          <w:tcPr>
            <w:tcW w:w="2900" w:type="dxa"/>
            <w:shd w:val="clear" w:color="auto" w:fill="F6F8FA"/>
            <w:tcMar>
              <w:top w:w="60" w:type="dxa"/>
              <w:left w:w="90" w:type="dxa"/>
              <w:bottom w:w="60" w:type="dxa"/>
              <w:right w:w="90" w:type="dxa"/>
            </w:tcMar>
          </w:tcPr>
          <w:p w14:paraId="7B336E6F">
            <w:pPr>
              <w:spacing w:before="40" w:after="40" w:line="240" w:lineRule="auto"/>
              <w:jc w:val="left"/>
            </w:pPr>
            <w:r>
              <w:rPr>
                <w:rFonts w:ascii="Calibri" w:hAnsi="Calibri" w:eastAsia="Calibri" w:cs="Calibri"/>
                <w:color w:val="1C2733"/>
                <w:sz w:val="16"/>
                <w:szCs w:val="16"/>
              </w:rPr>
              <w:t>Written claim with its limitations attached</w:t>
            </w:r>
          </w:p>
        </w:tc>
      </w:tr>
    </w:tbl>
    <w:p w14:paraId="7C0B2AC5">
      <w:pPr>
        <w:pStyle w:val="3"/>
        <w:spacing w:before="260" w:after="100"/>
      </w:pPr>
      <w:r>
        <w:rPr>
          <w:rFonts w:ascii="Calibri" w:hAnsi="Calibri" w:eastAsia="Calibri" w:cs="Calibri"/>
          <w:b/>
          <w:bCs/>
          <w:color w:val="1C2733"/>
          <w:sz w:val="24"/>
          <w:szCs w:val="24"/>
        </w:rPr>
        <w:t>2.  AI-assisted workflow (plan-first prompt)</w:t>
      </w:r>
    </w:p>
    <w:p w14:paraId="300500CF">
      <w:pPr>
        <w:spacing w:before="60" w:after="100" w:line="276" w:lineRule="auto"/>
        <w:jc w:val="left"/>
      </w:pPr>
      <w:r>
        <w:rPr>
          <w:rFonts w:ascii="Calibri" w:hAnsi="Calibri" w:eastAsia="Calibri" w:cs="Calibri"/>
          <w:color w:val="1C2733"/>
          <w:sz w:val="21"/>
          <w:szCs w:val="21"/>
        </w:rPr>
        <w:t>I used a plan-first prompt: the model was required to produce a plan, its assumptions and its uncertainties before writing a single command, so that I could audit the reasoning rather than debug the code.</w:t>
      </w:r>
    </w:p>
    <w:p w14:paraId="267B0FDF">
      <w:pPr>
        <w:shd w:val="clear" w:fill="F4F5F7"/>
        <w:spacing w:before="100" w:after="0" w:line="230" w:lineRule="auto"/>
        <w:ind w:left="140" w:right="140"/>
      </w:pPr>
      <w:r>
        <w:rPr>
          <w:rFonts w:ascii="Consolas" w:hAnsi="Consolas" w:eastAsia="Consolas" w:cs="Consolas"/>
          <w:color w:val="243040"/>
          <w:sz w:val="16"/>
          <w:szCs w:val="16"/>
        </w:rPr>
        <w:t>STAGE 1 — PLAN ONLY. Do not write any commands yet.</w:t>
      </w:r>
    </w:p>
    <w:p w14:paraId="74852E44">
      <w:pPr>
        <w:shd w:val="clear" w:fill="F4F5F7"/>
        <w:spacing w:before="0" w:after="0" w:line="230" w:lineRule="auto"/>
        <w:ind w:left="140" w:right="140"/>
      </w:pPr>
      <w:r>
        <w:rPr>
          <w:rFonts w:ascii="Consolas" w:hAnsi="Consolas" w:eastAsia="Consolas" w:cs="Consolas"/>
          <w:color w:val="243040"/>
          <w:sz w:val="16"/>
          <w:szCs w:val="16"/>
        </w:rPr>
        <w:t xml:space="preserve"> </w:t>
      </w:r>
    </w:p>
    <w:p w14:paraId="77DCC4E4">
      <w:pPr>
        <w:shd w:val="clear" w:fill="F4F5F7"/>
        <w:spacing w:before="0" w:after="0" w:line="230" w:lineRule="auto"/>
        <w:ind w:left="140" w:right="140"/>
      </w:pPr>
      <w:r>
        <w:rPr>
          <w:rFonts w:ascii="Consolas" w:hAnsi="Consolas" w:eastAsia="Consolas" w:cs="Consolas"/>
          <w:color w:val="243040"/>
          <w:sz w:val="16"/>
          <w:szCs w:val="16"/>
        </w:rPr>
        <w:t>Input: paired-end Illumina FASTQ, human sample S01_CTRL_WGS, 2x80 bp,</w:t>
      </w:r>
    </w:p>
    <w:p w14:paraId="012BC3B4">
      <w:pPr>
        <w:shd w:val="clear" w:fill="F4F5F7"/>
        <w:spacing w:before="0" w:after="0" w:line="230" w:lineRule="auto"/>
        <w:ind w:left="140" w:right="140"/>
      </w:pPr>
      <w:r>
        <w:rPr>
          <w:rFonts w:ascii="Consolas" w:hAnsi="Consolas" w:eastAsia="Consolas" w:cs="Consolas"/>
          <w:color w:val="243040"/>
          <w:sz w:val="16"/>
          <w:szCs w:val="16"/>
        </w:rPr>
        <w:t>manifest says WGS, control. Goal: raw reads -&gt; interpretable germline</w:t>
      </w:r>
    </w:p>
    <w:p w14:paraId="5109CC24">
      <w:pPr>
        <w:shd w:val="clear" w:fill="F4F5F7"/>
        <w:spacing w:before="0" w:after="0" w:line="230" w:lineRule="auto"/>
        <w:ind w:left="140" w:right="140"/>
      </w:pPr>
      <w:r>
        <w:rPr>
          <w:rFonts w:ascii="Consolas" w:hAnsi="Consolas" w:eastAsia="Consolas" w:cs="Consolas"/>
          <w:color w:val="243040"/>
          <w:sz w:val="16"/>
          <w:szCs w:val="16"/>
        </w:rPr>
        <w:t>variants, single sample, reproducible.</w:t>
      </w:r>
    </w:p>
    <w:p w14:paraId="471118B0">
      <w:pPr>
        <w:shd w:val="clear" w:fill="F4F5F7"/>
        <w:spacing w:before="0" w:after="0" w:line="230" w:lineRule="auto"/>
        <w:ind w:left="140" w:right="140"/>
      </w:pPr>
      <w:r>
        <w:rPr>
          <w:rFonts w:ascii="Consolas" w:hAnsi="Consolas" w:eastAsia="Consolas" w:cs="Consolas"/>
          <w:color w:val="243040"/>
          <w:sz w:val="16"/>
          <w:szCs w:val="16"/>
        </w:rPr>
        <w:t xml:space="preserve"> </w:t>
      </w:r>
    </w:p>
    <w:p w14:paraId="5C969E4A">
      <w:pPr>
        <w:shd w:val="clear" w:fill="F4F5F7"/>
        <w:spacing w:before="0" w:after="0" w:line="230" w:lineRule="auto"/>
        <w:ind w:left="140" w:right="140"/>
      </w:pPr>
      <w:r>
        <w:rPr>
          <w:rFonts w:ascii="Consolas" w:hAnsi="Consolas" w:eastAsia="Consolas" w:cs="Consolas"/>
          <w:color w:val="243040"/>
          <w:sz w:val="16"/>
          <w:szCs w:val="16"/>
        </w:rPr>
        <w:t>Produce:</w:t>
      </w:r>
    </w:p>
    <w:p w14:paraId="5500CCD7">
      <w:pPr>
        <w:shd w:val="clear" w:fill="F4F5F7"/>
        <w:spacing w:before="0" w:after="0" w:line="230" w:lineRule="auto"/>
        <w:ind w:left="140" w:right="140"/>
      </w:pPr>
      <w:r>
        <w:rPr>
          <w:rFonts w:ascii="Consolas" w:hAnsi="Consolas" w:eastAsia="Consolas" w:cs="Consolas"/>
          <w:color w:val="243040"/>
          <w:sz w:val="16"/>
          <w:szCs w:val="16"/>
        </w:rPr>
        <w:t xml:space="preserve">  (a) an ordered step list; for each step state its PURPOSE, its INPUT and</w:t>
      </w:r>
    </w:p>
    <w:p w14:paraId="3721D95C">
      <w:pPr>
        <w:shd w:val="clear" w:fill="F4F5F7"/>
        <w:spacing w:before="0" w:after="0" w:line="230" w:lineRule="auto"/>
        <w:ind w:left="140" w:right="140"/>
      </w:pPr>
      <w:r>
        <w:rPr>
          <w:rFonts w:ascii="Consolas" w:hAnsi="Consolas" w:eastAsia="Consolas" w:cs="Consolas"/>
          <w:color w:val="243040"/>
          <w:sz w:val="16"/>
          <w:szCs w:val="16"/>
        </w:rPr>
        <w:t xml:space="preserve">      OUTPUT file format, and the QC metric that decides whether to proceed;</w:t>
      </w:r>
    </w:p>
    <w:p w14:paraId="03D4FD94">
      <w:pPr>
        <w:shd w:val="clear" w:fill="F4F5F7"/>
        <w:spacing w:before="0" w:after="0" w:line="230" w:lineRule="auto"/>
        <w:ind w:left="140" w:right="140"/>
      </w:pPr>
      <w:r>
        <w:rPr>
          <w:rFonts w:ascii="Consolas" w:hAnsi="Consolas" w:eastAsia="Consolas" w:cs="Consolas"/>
          <w:color w:val="243040"/>
          <w:sz w:val="16"/>
          <w:szCs w:val="16"/>
        </w:rPr>
        <w:t xml:space="preserve">  (b) every ASSUMPTION you are making about the data that I have not told</w:t>
      </w:r>
    </w:p>
    <w:p w14:paraId="29F54BE6">
      <w:pPr>
        <w:shd w:val="clear" w:fill="F4F5F7"/>
        <w:spacing w:before="0" w:after="0" w:line="230" w:lineRule="auto"/>
        <w:ind w:left="140" w:right="140"/>
      </w:pPr>
      <w:r>
        <w:rPr>
          <w:rFonts w:ascii="Consolas" w:hAnsi="Consolas" w:eastAsia="Consolas" w:cs="Consolas"/>
          <w:color w:val="243040"/>
          <w:sz w:val="16"/>
          <w:szCs w:val="16"/>
        </w:rPr>
        <w:t xml:space="preserve">      you (read length, coverage, library prep, single vs cohort);</w:t>
      </w:r>
    </w:p>
    <w:p w14:paraId="2ACD342E">
      <w:pPr>
        <w:shd w:val="clear" w:fill="F4F5F7"/>
        <w:spacing w:before="0" w:after="0" w:line="230" w:lineRule="auto"/>
        <w:ind w:left="140" w:right="140"/>
      </w:pPr>
      <w:r>
        <w:rPr>
          <w:rFonts w:ascii="Consolas" w:hAnsi="Consolas" w:eastAsia="Consolas" w:cs="Consolas"/>
          <w:color w:val="243040"/>
          <w:sz w:val="16"/>
          <w:szCs w:val="16"/>
        </w:rPr>
        <w:t xml:space="preserve">  (c) the three decisions in this workflow that would most change the final</w:t>
      </w:r>
    </w:p>
    <w:p w14:paraId="58EDA07F">
      <w:pPr>
        <w:shd w:val="clear" w:fill="F4F5F7"/>
        <w:spacing w:before="0" w:after="0" w:line="230" w:lineRule="auto"/>
        <w:ind w:left="140" w:right="140"/>
      </w:pPr>
      <w:r>
        <w:rPr>
          <w:rFonts w:ascii="Consolas" w:hAnsi="Consolas" w:eastAsia="Consolas" w:cs="Consolas"/>
          <w:color w:val="243040"/>
          <w:sz w:val="16"/>
          <w:szCs w:val="16"/>
        </w:rPr>
        <w:t xml:space="preserve">      variant list, and the alternatives for each;</w:t>
      </w:r>
    </w:p>
    <w:p w14:paraId="6CB534DB">
      <w:pPr>
        <w:shd w:val="clear" w:fill="F4F5F7"/>
        <w:spacing w:before="0" w:after="0" w:line="230" w:lineRule="auto"/>
        <w:ind w:left="140" w:right="140"/>
      </w:pPr>
      <w:r>
        <w:rPr>
          <w:rFonts w:ascii="Consolas" w:hAnsi="Consolas" w:eastAsia="Consolas" w:cs="Consolas"/>
          <w:color w:val="243040"/>
          <w:sz w:val="16"/>
          <w:szCs w:val="16"/>
        </w:rPr>
        <w:t xml:space="preserve">  (d) for each tool you name, the exact documentation page I should check.</w:t>
      </w:r>
    </w:p>
    <w:p w14:paraId="23F50B3C">
      <w:pPr>
        <w:shd w:val="clear" w:fill="F4F5F7"/>
        <w:spacing w:before="0" w:after="0" w:line="230" w:lineRule="auto"/>
        <w:ind w:left="140" w:right="140"/>
      </w:pPr>
      <w:r>
        <w:rPr>
          <w:rFonts w:ascii="Consolas" w:hAnsi="Consolas" w:eastAsia="Consolas" w:cs="Consolas"/>
          <w:color w:val="243040"/>
          <w:sz w:val="16"/>
          <w:szCs w:val="16"/>
        </w:rPr>
        <w:t xml:space="preserve"> </w:t>
      </w:r>
    </w:p>
    <w:p w14:paraId="0F077B58">
      <w:pPr>
        <w:shd w:val="clear" w:fill="F4F5F7"/>
        <w:spacing w:before="0" w:after="0" w:line="230" w:lineRule="auto"/>
        <w:ind w:left="140" w:right="140"/>
      </w:pPr>
      <w:r>
        <w:rPr>
          <w:rFonts w:ascii="Consolas" w:hAnsi="Consolas" w:eastAsia="Consolas" w:cs="Consolas"/>
          <w:color w:val="243040"/>
          <w:sz w:val="16"/>
          <w:szCs w:val="16"/>
        </w:rPr>
        <w:t>STAGE 2 — only after I approve the plan, emit commands, with version pins</w:t>
      </w:r>
    </w:p>
    <w:p w14:paraId="0D3E98B7">
      <w:pPr>
        <w:shd w:val="clear" w:fill="F4F5F7"/>
        <w:spacing w:before="0" w:after="0" w:line="230" w:lineRule="auto"/>
        <w:ind w:left="140" w:right="140"/>
      </w:pPr>
      <w:r>
        <w:rPr>
          <w:rFonts w:ascii="Consolas" w:hAnsi="Consolas" w:eastAsia="Consolas" w:cs="Consolas"/>
          <w:color w:val="243040"/>
          <w:sz w:val="16"/>
          <w:szCs w:val="16"/>
        </w:rPr>
        <w:t>and a one-line justification for every non-default parameter.</w:t>
      </w:r>
    </w:p>
    <w:p w14:paraId="56DF7C2E">
      <w:pPr>
        <w:shd w:val="clear" w:fill="F4F5F7"/>
        <w:spacing w:before="0" w:after="0" w:line="230" w:lineRule="auto"/>
        <w:ind w:left="140" w:right="140"/>
      </w:pPr>
      <w:r>
        <w:rPr>
          <w:rFonts w:ascii="Consolas" w:hAnsi="Consolas" w:eastAsia="Consolas" w:cs="Consolas"/>
          <w:color w:val="243040"/>
          <w:sz w:val="16"/>
          <w:szCs w:val="16"/>
        </w:rPr>
        <w:t xml:space="preserve"> </w:t>
      </w:r>
    </w:p>
    <w:p w14:paraId="56D86B27">
      <w:pPr>
        <w:shd w:val="clear" w:fill="F4F5F7"/>
        <w:spacing w:before="0" w:after="0" w:line="230" w:lineRule="auto"/>
        <w:ind w:left="140" w:right="140"/>
      </w:pPr>
      <w:r>
        <w:rPr>
          <w:rFonts w:ascii="Consolas" w:hAnsi="Consolas" w:eastAsia="Consolas" w:cs="Consolas"/>
          <w:color w:val="243040"/>
          <w:sz w:val="16"/>
          <w:szCs w:val="16"/>
        </w:rPr>
        <w:t>Rules: if a recommendation depends on information you do not have, ask</w:t>
      </w:r>
    </w:p>
    <w:p w14:paraId="543DAECD">
      <w:pPr>
        <w:shd w:val="clear" w:fill="F4F5F7"/>
        <w:spacing w:before="0" w:after="120" w:line="230" w:lineRule="auto"/>
        <w:ind w:left="140" w:right="140"/>
      </w:pPr>
      <w:r>
        <w:rPr>
          <w:rFonts w:ascii="Consolas" w:hAnsi="Consolas" w:eastAsia="Consolas" w:cs="Consolas"/>
          <w:color w:val="243040"/>
          <w:sz w:val="16"/>
          <w:szCs w:val="16"/>
        </w:rPr>
        <w:t>instead of assuming. Do not give me a pipeline you cannot justify.</w:t>
      </w:r>
    </w:p>
    <w:p w14:paraId="7F60CAAE">
      <w:pPr>
        <w:spacing w:before="60" w:after="100" w:line="276" w:lineRule="auto"/>
        <w:jc w:val="left"/>
      </w:pPr>
      <w:r>
        <w:rPr>
          <w:rFonts w:ascii="Calibri" w:hAnsi="Calibri" w:eastAsia="Calibri" w:cs="Calibri"/>
          <w:color w:val="1C2733"/>
          <w:sz w:val="21"/>
          <w:szCs w:val="21"/>
        </w:rPr>
        <w:t>The plan-first framing paid for itself immediately: in part (b) the model assumed a cohort callset and 30× coverage, neither of which is true here, and that assumption is what produced the VQSR recommendation I later rejected.</w:t>
      </w:r>
    </w:p>
    <w:p w14:paraId="3550911D">
      <w:pPr>
        <w:pStyle w:val="3"/>
        <w:spacing w:before="260" w:after="100"/>
      </w:pPr>
      <w:r>
        <w:rPr>
          <w:rFonts w:ascii="Calibri" w:hAnsi="Calibri" w:eastAsia="Calibri" w:cs="Calibri"/>
          <w:b/>
          <w:bCs/>
          <w:color w:val="1C2733"/>
          <w:sz w:val="24"/>
          <w:szCs w:val="24"/>
        </w:rPr>
        <w:t>3.  Verification</w:t>
      </w:r>
    </w:p>
    <w:p w14:paraId="7A657604">
      <w:pPr>
        <w:pStyle w:val="4"/>
        <w:spacing w:before="200" w:after="80"/>
      </w:pPr>
      <w:r>
        <w:rPr>
          <w:rFonts w:ascii="Calibri" w:hAnsi="Calibri" w:eastAsia="Calibri" w:cs="Calibri"/>
          <w:b/>
          <w:bCs/>
          <w:color w:val="4A7C3F"/>
          <w:sz w:val="21"/>
          <w:szCs w:val="21"/>
        </w:rPr>
        <w:t>3.1  FastQC interpretation — seven modules read from the S01 snapshot</w:t>
      </w:r>
    </w:p>
    <w:p w14:paraId="71F9D9D3">
      <w:pPr>
        <w:spacing w:before="60" w:after="100" w:line="276" w:lineRule="auto"/>
        <w:jc w:val="left"/>
      </w:pPr>
      <w:r>
        <w:rPr>
          <w:rFonts w:ascii="Calibri" w:hAnsi="Calibri" w:eastAsia="Calibri" w:cs="Calibri"/>
          <w:color w:val="1C2733"/>
          <w:sz w:val="21"/>
          <w:szCs w:val="21"/>
        </w:rPr>
        <w:t>The assignment requires at least four metrics; I interpret all seven in the snapshot, because the informative part is how they corroborate one another. Values are quoted from data/demo_fastq/fastqc_snapshot.tsv.</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1700"/>
        <w:gridCol w:w="2050"/>
        <w:gridCol w:w="4574"/>
        <w:gridCol w:w="1900"/>
      </w:tblGrid>
      <w:tr w14:paraId="5DCFBE6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1700" w:type="dxa"/>
            <w:shd w:val="clear" w:color="auto" w:fill="DCE7F1"/>
            <w:tcMar>
              <w:top w:w="60" w:type="dxa"/>
              <w:left w:w="90" w:type="dxa"/>
              <w:bottom w:w="60" w:type="dxa"/>
              <w:right w:w="90" w:type="dxa"/>
            </w:tcMar>
          </w:tcPr>
          <w:p w14:paraId="5FEBBFE1">
            <w:pPr>
              <w:spacing w:before="40" w:after="40" w:line="240" w:lineRule="auto"/>
              <w:jc w:val="left"/>
            </w:pPr>
            <w:r>
              <w:rPr>
                <w:rFonts w:ascii="Calibri" w:hAnsi="Calibri" w:eastAsia="Calibri" w:cs="Calibri"/>
                <w:b/>
                <w:bCs/>
                <w:color w:val="1C2733"/>
                <w:sz w:val="15"/>
                <w:szCs w:val="15"/>
              </w:rPr>
              <w:t>FastQC module</w:t>
            </w:r>
          </w:p>
        </w:tc>
        <w:tc>
          <w:tcPr>
            <w:tcW w:w="2050" w:type="dxa"/>
            <w:shd w:val="clear" w:color="auto" w:fill="DCE7F1"/>
            <w:tcMar>
              <w:top w:w="60" w:type="dxa"/>
              <w:left w:w="90" w:type="dxa"/>
              <w:bottom w:w="60" w:type="dxa"/>
              <w:right w:w="90" w:type="dxa"/>
            </w:tcMar>
          </w:tcPr>
          <w:p w14:paraId="614AECA0">
            <w:pPr>
              <w:spacing w:before="40" w:after="40" w:line="240" w:lineRule="auto"/>
              <w:jc w:val="left"/>
            </w:pPr>
            <w:r>
              <w:rPr>
                <w:rFonts w:ascii="Calibri" w:hAnsi="Calibri" w:eastAsia="Calibri" w:cs="Calibri"/>
                <w:b/>
                <w:bCs/>
                <w:color w:val="1C2733"/>
                <w:sz w:val="15"/>
                <w:szCs w:val="15"/>
              </w:rPr>
              <w:t>Snapshot status and value</w:t>
            </w:r>
          </w:p>
        </w:tc>
        <w:tc>
          <w:tcPr>
            <w:tcW w:w="4574" w:type="dxa"/>
            <w:shd w:val="clear" w:color="auto" w:fill="DCE7F1"/>
            <w:tcMar>
              <w:top w:w="60" w:type="dxa"/>
              <w:left w:w="90" w:type="dxa"/>
              <w:bottom w:w="60" w:type="dxa"/>
              <w:right w:w="90" w:type="dxa"/>
            </w:tcMar>
          </w:tcPr>
          <w:p w14:paraId="180BEEE7">
            <w:pPr>
              <w:spacing w:before="40" w:after="40" w:line="240" w:lineRule="auto"/>
              <w:jc w:val="left"/>
            </w:pPr>
            <w:r>
              <w:rPr>
                <w:rFonts w:ascii="Calibri" w:hAnsi="Calibri" w:eastAsia="Calibri" w:cs="Calibri"/>
                <w:b/>
                <w:bCs/>
                <w:color w:val="1C2733"/>
                <w:sz w:val="15"/>
                <w:szCs w:val="15"/>
              </w:rPr>
              <w:t>My interpretation</w:t>
            </w:r>
          </w:p>
        </w:tc>
        <w:tc>
          <w:tcPr>
            <w:tcW w:w="1900" w:type="dxa"/>
            <w:shd w:val="clear" w:color="auto" w:fill="DCE7F1"/>
            <w:tcMar>
              <w:top w:w="60" w:type="dxa"/>
              <w:left w:w="90" w:type="dxa"/>
              <w:bottom w:w="60" w:type="dxa"/>
              <w:right w:w="90" w:type="dxa"/>
            </w:tcMar>
          </w:tcPr>
          <w:p w14:paraId="1F16C725">
            <w:pPr>
              <w:spacing w:before="40" w:after="40" w:line="240" w:lineRule="auto"/>
              <w:jc w:val="left"/>
            </w:pPr>
            <w:r>
              <w:rPr>
                <w:rFonts w:ascii="Calibri" w:hAnsi="Calibri" w:eastAsia="Calibri" w:cs="Calibri"/>
                <w:b/>
                <w:bCs/>
                <w:color w:val="1C2733"/>
                <w:sz w:val="15"/>
                <w:szCs w:val="15"/>
              </w:rPr>
              <w:t>Action</w:t>
            </w:r>
          </w:p>
        </w:tc>
      </w:tr>
      <w:tr w14:paraId="501EABA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2367B318">
            <w:pPr>
              <w:spacing w:before="40" w:after="40" w:line="240" w:lineRule="auto"/>
              <w:jc w:val="left"/>
            </w:pPr>
            <w:r>
              <w:rPr>
                <w:rFonts w:ascii="Calibri" w:hAnsi="Calibri" w:eastAsia="Calibri" w:cs="Calibri"/>
                <w:color w:val="1C2733"/>
                <w:sz w:val="15"/>
                <w:szCs w:val="15"/>
              </w:rPr>
              <w:t>Per base sequence quality</w:t>
            </w:r>
          </w:p>
        </w:tc>
        <w:tc>
          <w:tcPr>
            <w:tcW w:w="2050" w:type="dxa"/>
            <w:tcMar>
              <w:top w:w="60" w:type="dxa"/>
              <w:left w:w="90" w:type="dxa"/>
              <w:bottom w:w="60" w:type="dxa"/>
              <w:right w:w="90" w:type="dxa"/>
            </w:tcMar>
          </w:tcPr>
          <w:p w14:paraId="2BB140AE">
            <w:pPr>
              <w:spacing w:before="40" w:after="40" w:line="240" w:lineRule="auto"/>
              <w:jc w:val="left"/>
            </w:pPr>
            <w:r>
              <w:rPr>
                <w:rFonts w:ascii="Calibri" w:hAnsi="Calibri" w:eastAsia="Calibri" w:cs="Calibri"/>
                <w:color w:val="1C2733"/>
                <w:sz w:val="15"/>
                <w:szCs w:val="15"/>
              </w:rPr>
              <w:t>WARN — 3′ median Phred ≈ 12 after cycle 50 on ~15% of R1</w:t>
            </w:r>
          </w:p>
        </w:tc>
        <w:tc>
          <w:tcPr>
            <w:tcW w:w="4574" w:type="dxa"/>
            <w:tcMar>
              <w:top w:w="60" w:type="dxa"/>
              <w:left w:w="90" w:type="dxa"/>
              <w:bottom w:w="60" w:type="dxa"/>
              <w:right w:w="90" w:type="dxa"/>
            </w:tcMar>
          </w:tcPr>
          <w:p w14:paraId="63B888B3">
            <w:pPr>
              <w:spacing w:before="40" w:after="40" w:line="240" w:lineRule="auto"/>
              <w:jc w:val="left"/>
            </w:pPr>
            <w:r>
              <w:rPr>
                <w:rFonts w:ascii="Calibri" w:hAnsi="Calibri" w:eastAsia="Calibri" w:cs="Calibri"/>
                <w:color w:val="1C2733"/>
                <w:sz w:val="15"/>
                <w:szCs w:val="15"/>
              </w:rPr>
              <w:t>A late-cycle quality decay confined to a minority of reads. Per the Babraham documentation this module warns when the lower quartile falls below 10 or the median below 25, so a median of ~12 at the 3′ end is a real degradation, not cosmetic. Because it is late-cycle and partial, it is consistent with normal chemistry decay plus the adapter read-through seen below, rather than an instrument failure.</w:t>
            </w:r>
          </w:p>
        </w:tc>
        <w:tc>
          <w:tcPr>
            <w:tcW w:w="1900" w:type="dxa"/>
            <w:tcMar>
              <w:top w:w="60" w:type="dxa"/>
              <w:left w:w="90" w:type="dxa"/>
              <w:bottom w:w="60" w:type="dxa"/>
              <w:right w:w="90" w:type="dxa"/>
            </w:tcMar>
          </w:tcPr>
          <w:p w14:paraId="7F9A9778">
            <w:pPr>
              <w:spacing w:before="40" w:after="40" w:line="240" w:lineRule="auto"/>
              <w:jc w:val="left"/>
            </w:pPr>
            <w:r>
              <w:rPr>
                <w:rFonts w:ascii="Calibri" w:hAnsi="Calibri" w:eastAsia="Calibri" w:cs="Calibri"/>
                <w:color w:val="1C2733"/>
                <w:sz w:val="15"/>
                <w:szCs w:val="15"/>
              </w:rPr>
              <w:t>Trim 3′ ends; do not over-trim — BQSR models exactly these low-quality cycles and removing them first destroys the information it needs.</w:t>
            </w:r>
          </w:p>
        </w:tc>
      </w:tr>
      <w:tr w14:paraId="38294BA3">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shd w:val="clear" w:color="auto" w:fill="F6F8FA"/>
            <w:tcMar>
              <w:top w:w="60" w:type="dxa"/>
              <w:left w:w="90" w:type="dxa"/>
              <w:bottom w:w="60" w:type="dxa"/>
              <w:right w:w="90" w:type="dxa"/>
            </w:tcMar>
          </w:tcPr>
          <w:p w14:paraId="78DB23CD">
            <w:pPr>
              <w:spacing w:before="40" w:after="40" w:line="240" w:lineRule="auto"/>
              <w:jc w:val="left"/>
            </w:pPr>
            <w:r>
              <w:rPr>
                <w:rFonts w:ascii="Calibri" w:hAnsi="Calibri" w:eastAsia="Calibri" w:cs="Calibri"/>
                <w:color w:val="1C2733"/>
                <w:sz w:val="15"/>
                <w:szCs w:val="15"/>
              </w:rPr>
              <w:t>Adapter content</w:t>
            </w:r>
          </w:p>
        </w:tc>
        <w:tc>
          <w:tcPr>
            <w:tcW w:w="2050" w:type="dxa"/>
            <w:shd w:val="clear" w:color="auto" w:fill="F6F8FA"/>
            <w:tcMar>
              <w:top w:w="60" w:type="dxa"/>
              <w:left w:w="90" w:type="dxa"/>
              <w:bottom w:w="60" w:type="dxa"/>
              <w:right w:w="90" w:type="dxa"/>
            </w:tcMar>
          </w:tcPr>
          <w:p w14:paraId="6C976815">
            <w:pPr>
              <w:spacing w:before="40" w:after="40" w:line="240" w:lineRule="auto"/>
              <w:jc w:val="left"/>
            </w:pPr>
            <w:r>
              <w:rPr>
                <w:rFonts w:ascii="Calibri" w:hAnsi="Calibri" w:eastAsia="Calibri" w:cs="Calibri"/>
                <w:color w:val="1C2733"/>
                <w:sz w:val="15"/>
                <w:szCs w:val="15"/>
              </w:rPr>
              <w:t>FAIL — Illumina-like AGATCGGAAGAGC rising at the 3′ end in ~15% of pairs</w:t>
            </w:r>
          </w:p>
        </w:tc>
        <w:tc>
          <w:tcPr>
            <w:tcW w:w="4574" w:type="dxa"/>
            <w:shd w:val="clear" w:color="auto" w:fill="F6F8FA"/>
            <w:tcMar>
              <w:top w:w="60" w:type="dxa"/>
              <w:left w:w="90" w:type="dxa"/>
              <w:bottom w:w="60" w:type="dxa"/>
              <w:right w:w="90" w:type="dxa"/>
            </w:tcMar>
          </w:tcPr>
          <w:p w14:paraId="723E9232">
            <w:pPr>
              <w:spacing w:before="40" w:after="40" w:line="240" w:lineRule="auto"/>
              <w:jc w:val="left"/>
            </w:pPr>
            <w:r>
              <w:rPr>
                <w:rFonts w:ascii="Calibri" w:hAnsi="Calibri" w:eastAsia="Calibri" w:cs="Calibri"/>
                <w:color w:val="1C2733"/>
                <w:sz w:val="15"/>
                <w:szCs w:val="15"/>
              </w:rPr>
              <w:t>AGATCGGAAGAGC is the shared first 13 nt of the Illumina TruSeq Read 1 and Read 2 adapters. Its presence means inserts shorter than the read length were sequenced through into the adapter. In an 80 bp paired-end run this implies a sizeable short-insert fraction.</w:t>
            </w:r>
          </w:p>
        </w:tc>
        <w:tc>
          <w:tcPr>
            <w:tcW w:w="1900" w:type="dxa"/>
            <w:shd w:val="clear" w:color="auto" w:fill="F6F8FA"/>
            <w:tcMar>
              <w:top w:w="60" w:type="dxa"/>
              <w:left w:w="90" w:type="dxa"/>
              <w:bottom w:w="60" w:type="dxa"/>
              <w:right w:w="90" w:type="dxa"/>
            </w:tcMar>
          </w:tcPr>
          <w:p w14:paraId="59BB4CC2">
            <w:pPr>
              <w:spacing w:before="40" w:after="40" w:line="240" w:lineRule="auto"/>
              <w:jc w:val="left"/>
            </w:pPr>
            <w:r>
              <w:rPr>
                <w:rFonts w:ascii="Calibri" w:hAnsi="Calibri" w:eastAsia="Calibri" w:cs="Calibri"/>
                <w:color w:val="1C2733"/>
                <w:sz w:val="15"/>
                <w:szCs w:val="15"/>
              </w:rPr>
              <w:t>Adapter-trim with fastp or Trim Galore/Cutadapt, then re-run FastQC and require the Adapter Content module to return to PASS.</w:t>
            </w:r>
          </w:p>
        </w:tc>
      </w:tr>
      <w:tr w14:paraId="5C1719C5">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546BB94B">
            <w:pPr>
              <w:spacing w:before="40" w:after="40" w:line="240" w:lineRule="auto"/>
              <w:jc w:val="left"/>
            </w:pPr>
            <w:r>
              <w:rPr>
                <w:rFonts w:ascii="Calibri" w:hAnsi="Calibri" w:eastAsia="Calibri" w:cs="Calibri"/>
                <w:color w:val="1C2733"/>
                <w:sz w:val="15"/>
                <w:szCs w:val="15"/>
              </w:rPr>
              <w:t>Overrepresented sequences</w:t>
            </w:r>
          </w:p>
        </w:tc>
        <w:tc>
          <w:tcPr>
            <w:tcW w:w="2050" w:type="dxa"/>
            <w:tcMar>
              <w:top w:w="60" w:type="dxa"/>
              <w:left w:w="90" w:type="dxa"/>
              <w:bottom w:w="60" w:type="dxa"/>
              <w:right w:w="90" w:type="dxa"/>
            </w:tcMar>
          </w:tcPr>
          <w:p w14:paraId="6FCF4D94">
            <w:pPr>
              <w:spacing w:before="40" w:after="40" w:line="240" w:lineRule="auto"/>
              <w:jc w:val="left"/>
            </w:pPr>
            <w:r>
              <w:rPr>
                <w:rFonts w:ascii="Calibri" w:hAnsi="Calibri" w:eastAsia="Calibri" w:cs="Calibri"/>
                <w:color w:val="1C2733"/>
                <w:sz w:val="15"/>
                <w:szCs w:val="15"/>
              </w:rPr>
              <w:t>FAIL — an AGATCGGAAGAGC fragment among the top overrepresented k-mers</w:t>
            </w:r>
          </w:p>
        </w:tc>
        <w:tc>
          <w:tcPr>
            <w:tcW w:w="4574" w:type="dxa"/>
            <w:tcMar>
              <w:top w:w="60" w:type="dxa"/>
              <w:left w:w="90" w:type="dxa"/>
              <w:bottom w:w="60" w:type="dxa"/>
              <w:right w:w="90" w:type="dxa"/>
            </w:tcMar>
          </w:tcPr>
          <w:p w14:paraId="3FF1DAE8">
            <w:pPr>
              <w:spacing w:before="40" w:after="40" w:line="240" w:lineRule="auto"/>
              <w:jc w:val="left"/>
            </w:pPr>
            <w:r>
              <w:rPr>
                <w:rFonts w:ascii="Calibri" w:hAnsi="Calibri" w:eastAsia="Calibri" w:cs="Calibri"/>
                <w:color w:val="1C2733"/>
                <w:sz w:val="15"/>
                <w:szCs w:val="15"/>
              </w:rPr>
              <w:t>This is not an independent failure: it is the same adapter contamination reported by a second module, which is exactly the corroboration I want before acting. FastQC only inspects the first 100,000 reads and truncates reads to 50 bp for this module, so the percentage is an estimate, not a measurement over the whole file.</w:t>
            </w:r>
          </w:p>
        </w:tc>
        <w:tc>
          <w:tcPr>
            <w:tcW w:w="1900" w:type="dxa"/>
            <w:tcMar>
              <w:top w:w="60" w:type="dxa"/>
              <w:left w:w="90" w:type="dxa"/>
              <w:bottom w:w="60" w:type="dxa"/>
              <w:right w:w="90" w:type="dxa"/>
            </w:tcMar>
          </w:tcPr>
          <w:p w14:paraId="56930767">
            <w:pPr>
              <w:spacing w:before="40" w:after="40" w:line="240" w:lineRule="auto"/>
              <w:jc w:val="left"/>
            </w:pPr>
            <w:r>
              <w:rPr>
                <w:rFonts w:ascii="Calibri" w:hAnsi="Calibri" w:eastAsia="Calibri" w:cs="Calibri"/>
                <w:color w:val="1C2733"/>
                <w:sz w:val="15"/>
                <w:szCs w:val="15"/>
              </w:rPr>
              <w:t>Resolved by the same trimming step; confirm by re-running FastQC rather than by assuming.</w:t>
            </w:r>
          </w:p>
        </w:tc>
      </w:tr>
      <w:tr w14:paraId="02E84663">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shd w:val="clear" w:color="auto" w:fill="F6F8FA"/>
            <w:tcMar>
              <w:top w:w="60" w:type="dxa"/>
              <w:left w:w="90" w:type="dxa"/>
              <w:bottom w:w="60" w:type="dxa"/>
              <w:right w:w="90" w:type="dxa"/>
            </w:tcMar>
          </w:tcPr>
          <w:p w14:paraId="2639CC3D">
            <w:pPr>
              <w:spacing w:before="40" w:after="40" w:line="240" w:lineRule="auto"/>
              <w:jc w:val="left"/>
            </w:pPr>
            <w:r>
              <w:rPr>
                <w:rFonts w:ascii="Calibri" w:hAnsi="Calibri" w:eastAsia="Calibri" w:cs="Calibri"/>
                <w:color w:val="1C2733"/>
                <w:sz w:val="15"/>
                <w:szCs w:val="15"/>
              </w:rPr>
              <w:t>Per sequence GC content</w:t>
            </w:r>
          </w:p>
        </w:tc>
        <w:tc>
          <w:tcPr>
            <w:tcW w:w="2050" w:type="dxa"/>
            <w:shd w:val="clear" w:color="auto" w:fill="F6F8FA"/>
            <w:tcMar>
              <w:top w:w="60" w:type="dxa"/>
              <w:left w:w="90" w:type="dxa"/>
              <w:bottom w:w="60" w:type="dxa"/>
              <w:right w:w="90" w:type="dxa"/>
            </w:tcMar>
          </w:tcPr>
          <w:p w14:paraId="18C46C3C">
            <w:pPr>
              <w:spacing w:before="40" w:after="40" w:line="240" w:lineRule="auto"/>
              <w:jc w:val="left"/>
            </w:pPr>
            <w:r>
              <w:rPr>
                <w:rFonts w:ascii="Calibri" w:hAnsi="Calibri" w:eastAsia="Calibri" w:cs="Calibri"/>
                <w:color w:val="1C2733"/>
                <w:sz w:val="15"/>
                <w:szCs w:val="15"/>
              </w:rPr>
              <w:t>WARN — main mode ≈ 41% GC plus a high-GC shoulder at ≈ 78% in ~10% of reads</w:t>
            </w:r>
          </w:p>
        </w:tc>
        <w:tc>
          <w:tcPr>
            <w:tcW w:w="4574" w:type="dxa"/>
            <w:shd w:val="clear" w:color="auto" w:fill="F6F8FA"/>
            <w:tcMar>
              <w:top w:w="60" w:type="dxa"/>
              <w:left w:w="90" w:type="dxa"/>
              <w:bottom w:w="60" w:type="dxa"/>
              <w:right w:w="90" w:type="dxa"/>
            </w:tcMar>
          </w:tcPr>
          <w:p w14:paraId="13BD0692">
            <w:pPr>
              <w:spacing w:before="40" w:after="40" w:line="240" w:lineRule="auto"/>
              <w:jc w:val="left"/>
            </w:pPr>
            <w:r>
              <w:rPr>
                <w:rFonts w:ascii="Calibri" w:hAnsi="Calibri" w:eastAsia="Calibri" w:cs="Calibri"/>
                <w:color w:val="1C2733"/>
                <w:sz w:val="15"/>
                <w:szCs w:val="15"/>
              </w:rPr>
              <w:t>The 41% main mode is what a human genomic library should look like. The second, high-GC mode is the diagnostic feature: a bimodal GC distribution is the classic signature of a contaminating organism or a strongly biased enrichment, not of a poor run. A 78% GC shoulder is well outside anything human genomic DNA produces.</w:t>
            </w:r>
          </w:p>
        </w:tc>
        <w:tc>
          <w:tcPr>
            <w:tcW w:w="1900" w:type="dxa"/>
            <w:shd w:val="clear" w:color="auto" w:fill="F6F8FA"/>
            <w:tcMar>
              <w:top w:w="60" w:type="dxa"/>
              <w:left w:w="90" w:type="dxa"/>
              <w:bottom w:w="60" w:type="dxa"/>
              <w:right w:w="90" w:type="dxa"/>
            </w:tcMar>
          </w:tcPr>
          <w:p w14:paraId="478648BC">
            <w:pPr>
              <w:spacing w:before="40" w:after="40" w:line="240" w:lineRule="auto"/>
              <w:jc w:val="left"/>
            </w:pPr>
            <w:r>
              <w:rPr>
                <w:rFonts w:ascii="Calibri" w:hAnsi="Calibri" w:eastAsia="Calibri" w:cs="Calibri"/>
                <w:color w:val="1C2733"/>
                <w:sz w:val="15"/>
                <w:szCs w:val="15"/>
              </w:rPr>
              <w:t>Identify the contaminant before alignment (BLAST the overrepresented sequences, or screen with FastQ Screen / Kraken2); quantify what fraction of the library is lost, and decide whether to re-prep.</w:t>
            </w:r>
          </w:p>
        </w:tc>
      </w:tr>
      <w:tr w14:paraId="1051D81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6CF1D7C2">
            <w:pPr>
              <w:spacing w:before="40" w:after="40" w:line="240" w:lineRule="auto"/>
              <w:jc w:val="left"/>
            </w:pPr>
            <w:r>
              <w:rPr>
                <w:rFonts w:ascii="Calibri" w:hAnsi="Calibri" w:eastAsia="Calibri" w:cs="Calibri"/>
                <w:color w:val="1C2733"/>
                <w:sz w:val="15"/>
                <w:szCs w:val="15"/>
              </w:rPr>
              <w:t>Sequence duplication levels</w:t>
            </w:r>
          </w:p>
        </w:tc>
        <w:tc>
          <w:tcPr>
            <w:tcW w:w="2050" w:type="dxa"/>
            <w:tcMar>
              <w:top w:w="60" w:type="dxa"/>
              <w:left w:w="90" w:type="dxa"/>
              <w:bottom w:w="60" w:type="dxa"/>
              <w:right w:w="90" w:type="dxa"/>
            </w:tcMar>
          </w:tcPr>
          <w:p w14:paraId="30682C19">
            <w:pPr>
              <w:spacing w:before="40" w:after="40" w:line="240" w:lineRule="auto"/>
              <w:jc w:val="left"/>
            </w:pPr>
            <w:r>
              <w:rPr>
                <w:rFonts w:ascii="Calibri" w:hAnsi="Calibri" w:eastAsia="Calibri" w:cs="Calibri"/>
                <w:color w:val="1C2733"/>
                <w:sz w:val="15"/>
                <w:szCs w:val="15"/>
              </w:rPr>
              <w:t>WARN — one template sequence repeated in ~15% of R1</w:t>
            </w:r>
          </w:p>
        </w:tc>
        <w:tc>
          <w:tcPr>
            <w:tcW w:w="4574" w:type="dxa"/>
            <w:tcMar>
              <w:top w:w="60" w:type="dxa"/>
              <w:left w:w="90" w:type="dxa"/>
              <w:bottom w:w="60" w:type="dxa"/>
              <w:right w:w="90" w:type="dxa"/>
            </w:tcMar>
          </w:tcPr>
          <w:p w14:paraId="25403989">
            <w:pPr>
              <w:spacing w:before="40" w:after="40" w:line="240" w:lineRule="auto"/>
              <w:jc w:val="left"/>
            </w:pPr>
            <w:r>
              <w:rPr>
                <w:rFonts w:ascii="Calibri" w:hAnsi="Calibri" w:eastAsia="Calibri" w:cs="Calibri"/>
                <w:color w:val="1C2733"/>
                <w:sz w:val="15"/>
                <w:szCs w:val="15"/>
              </w:rPr>
              <w:t>For WGS this is high: a single template at 15% indicates PCR over-amplification or low input rather than genuine coverage. The FastQC caveats matter here too — only the first 100,000 sequences are analysed and reads are truncated to 50 bp — so this is an indication to check the duplicate rate properly after alignment.</w:t>
            </w:r>
          </w:p>
        </w:tc>
        <w:tc>
          <w:tcPr>
            <w:tcW w:w="1900" w:type="dxa"/>
            <w:tcMar>
              <w:top w:w="60" w:type="dxa"/>
              <w:left w:w="90" w:type="dxa"/>
              <w:bottom w:w="60" w:type="dxa"/>
              <w:right w:w="90" w:type="dxa"/>
            </w:tcMar>
          </w:tcPr>
          <w:p w14:paraId="15B11D38">
            <w:pPr>
              <w:spacing w:before="40" w:after="40" w:line="240" w:lineRule="auto"/>
              <w:jc w:val="left"/>
            </w:pPr>
            <w:r>
              <w:rPr>
                <w:rFonts w:ascii="Calibri" w:hAnsi="Calibri" w:eastAsia="Calibri" w:cs="Calibri"/>
                <w:color w:val="1C2733"/>
                <w:sz w:val="15"/>
                <w:szCs w:val="15"/>
              </w:rPr>
              <w:t>Mark duplicates after alignment (GATK MarkDuplicates) and judge the rate against the library expectation; do not remove duplicates before alignment.</w:t>
            </w:r>
          </w:p>
        </w:tc>
      </w:tr>
      <w:tr w14:paraId="2D22F64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shd w:val="clear" w:color="auto" w:fill="F6F8FA"/>
            <w:tcMar>
              <w:top w:w="60" w:type="dxa"/>
              <w:left w:w="90" w:type="dxa"/>
              <w:bottom w:w="60" w:type="dxa"/>
              <w:right w:w="90" w:type="dxa"/>
            </w:tcMar>
          </w:tcPr>
          <w:p w14:paraId="13DBB486">
            <w:pPr>
              <w:spacing w:before="40" w:after="40" w:line="240" w:lineRule="auto"/>
              <w:jc w:val="left"/>
            </w:pPr>
            <w:r>
              <w:rPr>
                <w:rFonts w:ascii="Calibri" w:hAnsi="Calibri" w:eastAsia="Calibri" w:cs="Calibri"/>
                <w:color w:val="1C2733"/>
                <w:sz w:val="15"/>
                <w:szCs w:val="15"/>
              </w:rPr>
              <w:t>Per base N content</w:t>
            </w:r>
          </w:p>
        </w:tc>
        <w:tc>
          <w:tcPr>
            <w:tcW w:w="2050" w:type="dxa"/>
            <w:shd w:val="clear" w:color="auto" w:fill="F6F8FA"/>
            <w:tcMar>
              <w:top w:w="60" w:type="dxa"/>
              <w:left w:w="90" w:type="dxa"/>
              <w:bottom w:w="60" w:type="dxa"/>
              <w:right w:w="90" w:type="dxa"/>
            </w:tcMar>
          </w:tcPr>
          <w:p w14:paraId="4ED86C4A">
            <w:pPr>
              <w:spacing w:before="40" w:after="40" w:line="240" w:lineRule="auto"/>
              <w:jc w:val="left"/>
            </w:pPr>
            <w:r>
              <w:rPr>
                <w:rFonts w:ascii="Calibri" w:hAnsi="Calibri" w:eastAsia="Calibri" w:cs="Calibri"/>
                <w:color w:val="1C2733"/>
                <w:sz w:val="15"/>
                <w:szCs w:val="15"/>
              </w:rPr>
              <w:t>PASS — N ≈ 0%</w:t>
            </w:r>
          </w:p>
        </w:tc>
        <w:tc>
          <w:tcPr>
            <w:tcW w:w="4574" w:type="dxa"/>
            <w:shd w:val="clear" w:color="auto" w:fill="F6F8FA"/>
            <w:tcMar>
              <w:top w:w="60" w:type="dxa"/>
              <w:left w:w="90" w:type="dxa"/>
              <w:bottom w:w="60" w:type="dxa"/>
              <w:right w:w="90" w:type="dxa"/>
            </w:tcMar>
          </w:tcPr>
          <w:p w14:paraId="1D3645CB">
            <w:pPr>
              <w:spacing w:before="40" w:after="40" w:line="240" w:lineRule="auto"/>
              <w:jc w:val="left"/>
            </w:pPr>
            <w:r>
              <w:rPr>
                <w:rFonts w:ascii="Calibri" w:hAnsi="Calibri" w:eastAsia="Calibri" w:cs="Calibri"/>
                <w:color w:val="1C2733"/>
                <w:sz w:val="15"/>
                <w:szCs w:val="15"/>
              </w:rPr>
              <w:t>No basecalling collapse; the quality problem above is a graded decay rather than a chemistry failure, which supports trimming rather than discarding.</w:t>
            </w:r>
          </w:p>
        </w:tc>
        <w:tc>
          <w:tcPr>
            <w:tcW w:w="1900" w:type="dxa"/>
            <w:shd w:val="clear" w:color="auto" w:fill="F6F8FA"/>
            <w:tcMar>
              <w:top w:w="60" w:type="dxa"/>
              <w:left w:w="90" w:type="dxa"/>
              <w:bottom w:w="60" w:type="dxa"/>
              <w:right w:w="90" w:type="dxa"/>
            </w:tcMar>
          </w:tcPr>
          <w:p w14:paraId="6BAC0624">
            <w:pPr>
              <w:spacing w:before="40" w:after="40" w:line="240" w:lineRule="auto"/>
              <w:jc w:val="left"/>
            </w:pPr>
            <w:r>
              <w:rPr>
                <w:rFonts w:ascii="Calibri" w:hAnsi="Calibri" w:eastAsia="Calibri" w:cs="Calibri"/>
                <w:color w:val="1C2733"/>
                <w:sz w:val="15"/>
                <w:szCs w:val="15"/>
              </w:rPr>
              <w:t>None.</w:t>
            </w:r>
          </w:p>
        </w:tc>
      </w:tr>
      <w:tr w14:paraId="618F0AE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0F688338">
            <w:pPr>
              <w:spacing w:before="40" w:after="40" w:line="240" w:lineRule="auto"/>
              <w:jc w:val="left"/>
            </w:pPr>
            <w:r>
              <w:rPr>
                <w:rFonts w:ascii="Calibri" w:hAnsi="Calibri" w:eastAsia="Calibri" w:cs="Calibri"/>
                <w:color w:val="1C2733"/>
                <w:sz w:val="15"/>
                <w:szCs w:val="15"/>
              </w:rPr>
              <w:t>Sequence length distribution</w:t>
            </w:r>
          </w:p>
        </w:tc>
        <w:tc>
          <w:tcPr>
            <w:tcW w:w="2050" w:type="dxa"/>
            <w:tcMar>
              <w:top w:w="60" w:type="dxa"/>
              <w:left w:w="90" w:type="dxa"/>
              <w:bottom w:w="60" w:type="dxa"/>
              <w:right w:w="90" w:type="dxa"/>
            </w:tcMar>
          </w:tcPr>
          <w:p w14:paraId="7E9CCE87">
            <w:pPr>
              <w:spacing w:before="40" w:after="40" w:line="240" w:lineRule="auto"/>
              <w:jc w:val="left"/>
            </w:pPr>
            <w:r>
              <w:rPr>
                <w:rFonts w:ascii="Calibri" w:hAnsi="Calibri" w:eastAsia="Calibri" w:cs="Calibri"/>
                <w:color w:val="1C2733"/>
                <w:sz w:val="15"/>
                <w:szCs w:val="15"/>
              </w:rPr>
              <w:t>PASS — all reads 80 bp</w:t>
            </w:r>
          </w:p>
        </w:tc>
        <w:tc>
          <w:tcPr>
            <w:tcW w:w="4574" w:type="dxa"/>
            <w:tcMar>
              <w:top w:w="60" w:type="dxa"/>
              <w:left w:w="90" w:type="dxa"/>
              <w:bottom w:w="60" w:type="dxa"/>
              <w:right w:w="90" w:type="dxa"/>
            </w:tcMar>
          </w:tcPr>
          <w:p w14:paraId="6A2DC27F">
            <w:pPr>
              <w:spacing w:before="40" w:after="40" w:line="240" w:lineRule="auto"/>
              <w:jc w:val="left"/>
            </w:pPr>
            <w:r>
              <w:rPr>
                <w:rFonts w:ascii="Calibri" w:hAnsi="Calibri" w:eastAsia="Calibri" w:cs="Calibri"/>
                <w:color w:val="1C2733"/>
                <w:sz w:val="15"/>
                <w:szCs w:val="15"/>
              </w:rPr>
              <w:t>Uniform length confirms no trimming has been applied yet, so the adapter and quality signals are the raw state of the library and can be acted on directly.</w:t>
            </w:r>
          </w:p>
        </w:tc>
        <w:tc>
          <w:tcPr>
            <w:tcW w:w="1900" w:type="dxa"/>
            <w:tcMar>
              <w:top w:w="60" w:type="dxa"/>
              <w:left w:w="90" w:type="dxa"/>
              <w:bottom w:w="60" w:type="dxa"/>
              <w:right w:w="90" w:type="dxa"/>
            </w:tcMar>
          </w:tcPr>
          <w:p w14:paraId="32EDE25C">
            <w:pPr>
              <w:spacing w:before="40" w:after="40" w:line="240" w:lineRule="auto"/>
              <w:jc w:val="left"/>
            </w:pPr>
            <w:r>
              <w:rPr>
                <w:rFonts w:ascii="Calibri" w:hAnsi="Calibri" w:eastAsia="Calibri" w:cs="Calibri"/>
                <w:color w:val="1C2733"/>
                <w:sz w:val="15"/>
                <w:szCs w:val="15"/>
              </w:rPr>
              <w:t>Expect this module to change to WARN after trimming; that change is expected, not a regression.</w:t>
            </w:r>
          </w:p>
        </w:tc>
      </w:tr>
    </w:tbl>
    <w:p w14:paraId="73E3CD6F">
      <w:pPr>
        <w:spacing w:before="60" w:after="100" w:line="276" w:lineRule="auto"/>
        <w:jc w:val="left"/>
      </w:pPr>
      <w:r>
        <w:rPr>
          <w:rFonts w:ascii="Calibri" w:hAnsi="Calibri" w:eastAsia="Calibri" w:cs="Calibri"/>
          <w:b/>
          <w:bCs/>
          <w:color w:val="1C2733"/>
          <w:sz w:val="21"/>
          <w:szCs w:val="21"/>
        </w:rPr>
        <w:t xml:space="preserve">Reading the four failing/warning modules together: </w:t>
      </w:r>
      <w:r>
        <w:rPr>
          <w:rFonts w:ascii="Calibri" w:hAnsi="Calibri" w:eastAsia="Calibri" w:cs="Calibri"/>
          <w:color w:val="1C2733"/>
          <w:sz w:val="21"/>
          <w:szCs w:val="21"/>
        </w:rPr>
        <w:t>adapter content, overrepresented sequences and the late-cycle quality drop are one problem (short inserts read through into adapter, with the usual end-of-read decay) affecting ~15% of pairs, and they are fixed by one trimming step. The GC shoulder is a second, independent problem affecting a different ~10% of reads, and trimming will not touch it. Distinguishing "one problem seen three times" from "three problems" is the whole point of reading the modules jointly rather than as a checklist.</w:t>
      </w:r>
    </w:p>
    <w:p w14:paraId="0B2121BD">
      <w:pPr>
        <w:pStyle w:val="4"/>
        <w:spacing w:before="200" w:after="80"/>
      </w:pPr>
      <w:r>
        <w:rPr>
          <w:rFonts w:ascii="Calibri" w:hAnsi="Calibri" w:eastAsia="Calibri" w:cs="Calibri"/>
          <w:b/>
          <w:bCs/>
          <w:color w:val="4A7C3F"/>
          <w:sz w:val="21"/>
          <w:szCs w:val="21"/>
        </w:rPr>
        <w:t>3.2  AI-audit table</w:t>
      </w:r>
    </w:p>
    <w:p w14:paraId="557E8D57">
      <w:pPr>
        <w:spacing w:before="60" w:after="100" w:line="276" w:lineRule="auto"/>
        <w:jc w:val="left"/>
      </w:pPr>
      <w:r>
        <w:rPr>
          <w:rFonts w:ascii="Calibri" w:hAnsi="Calibri" w:eastAsia="Calibri" w:cs="Calibri"/>
          <w:color w:val="1C2733"/>
          <w:sz w:val="21"/>
          <w:szCs w:val="21"/>
        </w:rPr>
        <w:t>Every substantive recommendation the model made, what I checked it against, and what I decided. The three rows in bold are places where I overruled the AI.</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2500"/>
        <w:gridCol w:w="4324"/>
        <w:gridCol w:w="3400"/>
      </w:tblGrid>
      <w:tr w14:paraId="546F3CE8">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2500" w:type="dxa"/>
            <w:shd w:val="clear" w:color="auto" w:fill="DCE7F1"/>
            <w:tcMar>
              <w:top w:w="60" w:type="dxa"/>
              <w:left w:w="90" w:type="dxa"/>
              <w:bottom w:w="60" w:type="dxa"/>
              <w:right w:w="90" w:type="dxa"/>
            </w:tcMar>
          </w:tcPr>
          <w:p w14:paraId="1FC8EFE3">
            <w:pPr>
              <w:spacing w:before="40" w:after="40" w:line="240" w:lineRule="auto"/>
              <w:jc w:val="left"/>
            </w:pPr>
            <w:r>
              <w:rPr>
                <w:rFonts w:ascii="Calibri" w:hAnsi="Calibri" w:eastAsia="Calibri" w:cs="Calibri"/>
                <w:b/>
                <w:bCs/>
                <w:color w:val="1C2733"/>
                <w:sz w:val="15"/>
                <w:szCs w:val="15"/>
              </w:rPr>
              <w:t>AI recommendation</w:t>
            </w:r>
          </w:p>
        </w:tc>
        <w:tc>
          <w:tcPr>
            <w:tcW w:w="4324" w:type="dxa"/>
            <w:shd w:val="clear" w:color="auto" w:fill="DCE7F1"/>
            <w:tcMar>
              <w:top w:w="60" w:type="dxa"/>
              <w:left w:w="90" w:type="dxa"/>
              <w:bottom w:w="60" w:type="dxa"/>
              <w:right w:w="90" w:type="dxa"/>
            </w:tcMar>
          </w:tcPr>
          <w:p w14:paraId="2519C7A3">
            <w:pPr>
              <w:spacing w:before="40" w:after="40" w:line="240" w:lineRule="auto"/>
              <w:jc w:val="left"/>
            </w:pPr>
            <w:r>
              <w:rPr>
                <w:rFonts w:ascii="Calibri" w:hAnsi="Calibri" w:eastAsia="Calibri" w:cs="Calibri"/>
                <w:b/>
                <w:bCs/>
                <w:color w:val="1C2733"/>
                <w:sz w:val="15"/>
                <w:szCs w:val="15"/>
              </w:rPr>
              <w:t>My verification</w:t>
            </w:r>
          </w:p>
        </w:tc>
        <w:tc>
          <w:tcPr>
            <w:tcW w:w="3400" w:type="dxa"/>
            <w:shd w:val="clear" w:color="auto" w:fill="DCE7F1"/>
            <w:tcMar>
              <w:top w:w="60" w:type="dxa"/>
              <w:left w:w="90" w:type="dxa"/>
              <w:bottom w:w="60" w:type="dxa"/>
              <w:right w:w="90" w:type="dxa"/>
            </w:tcMar>
          </w:tcPr>
          <w:p w14:paraId="16FF0EDD">
            <w:pPr>
              <w:spacing w:before="40" w:after="40" w:line="240" w:lineRule="auto"/>
              <w:jc w:val="left"/>
            </w:pPr>
            <w:r>
              <w:rPr>
                <w:rFonts w:ascii="Calibri" w:hAnsi="Calibri" w:eastAsia="Calibri" w:cs="Calibri"/>
                <w:b/>
                <w:bCs/>
                <w:color w:val="1C2733"/>
                <w:sz w:val="15"/>
                <w:szCs w:val="15"/>
              </w:rPr>
              <w:t>Final decision</w:t>
            </w:r>
          </w:p>
        </w:tc>
      </w:tr>
      <w:tr w14:paraId="7B5E471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tcMar>
              <w:top w:w="60" w:type="dxa"/>
              <w:left w:w="90" w:type="dxa"/>
              <w:bottom w:w="60" w:type="dxa"/>
              <w:right w:w="90" w:type="dxa"/>
            </w:tcMar>
          </w:tcPr>
          <w:p w14:paraId="6BCE6059">
            <w:pPr>
              <w:spacing w:before="40" w:after="40" w:line="240" w:lineRule="auto"/>
              <w:jc w:val="left"/>
            </w:pPr>
            <w:r>
              <w:rPr>
                <w:rFonts w:ascii="Calibri" w:hAnsi="Calibri" w:eastAsia="Calibri" w:cs="Calibri"/>
                <w:color w:val="1C2733"/>
                <w:sz w:val="15"/>
                <w:szCs w:val="15"/>
              </w:rPr>
              <w:t>Align to hg19/GRCh37 "because most clinical databases use it"</w:t>
            </w:r>
          </w:p>
        </w:tc>
        <w:tc>
          <w:tcPr>
            <w:tcW w:w="4324" w:type="dxa"/>
            <w:tcMar>
              <w:top w:w="60" w:type="dxa"/>
              <w:left w:w="90" w:type="dxa"/>
              <w:bottom w:w="60" w:type="dxa"/>
              <w:right w:w="90" w:type="dxa"/>
            </w:tcMar>
          </w:tcPr>
          <w:p w14:paraId="2959690E">
            <w:pPr>
              <w:spacing w:before="40" w:after="40" w:line="240" w:lineRule="auto"/>
              <w:jc w:val="left"/>
            </w:pPr>
            <w:r>
              <w:rPr>
                <w:rFonts w:ascii="Calibri" w:hAnsi="Calibri" w:eastAsia="Calibri" w:cs="Calibri"/>
                <w:color w:val="1C2733"/>
                <w:sz w:val="15"/>
                <w:szCs w:val="15"/>
              </w:rPr>
              <w:t>GATK, "Human genome reference builds — GRCh38/hg38, b37, hg19": "We strongly recommend switching to GRCh38/hg38 if you are working with human sequence data"; GRCh38 corrects thousands of assembly artefacts that generate false SNP and indel calls. NCBI GRC FAQ confirms GRCh38 is the current reference (patch GRCh38.p14).</w:t>
            </w:r>
          </w:p>
        </w:tc>
        <w:tc>
          <w:tcPr>
            <w:tcW w:w="3400" w:type="dxa"/>
            <w:tcMar>
              <w:top w:w="60" w:type="dxa"/>
              <w:left w:w="90" w:type="dxa"/>
              <w:bottom w:w="60" w:type="dxa"/>
              <w:right w:w="90" w:type="dxa"/>
            </w:tcMar>
          </w:tcPr>
          <w:p w14:paraId="5FC7E1DB">
            <w:pPr>
              <w:spacing w:before="40" w:after="40" w:line="240" w:lineRule="auto"/>
              <w:jc w:val="left"/>
            </w:pPr>
            <w:r>
              <w:rPr>
                <w:rFonts w:ascii="Calibri" w:hAnsi="Calibri" w:eastAsia="Calibri" w:cs="Calibri"/>
                <w:color w:val="1C2733"/>
                <w:sz w:val="15"/>
                <w:szCs w:val="15"/>
              </w:rPr>
              <w:t>REJECTED. GRCh38, using the no-ALT analysis set. The Question 4 table is a live demonstration of what mixed builds cost.</w:t>
            </w:r>
          </w:p>
        </w:tc>
      </w:tr>
      <w:tr w14:paraId="29BD86E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shd w:val="clear" w:color="auto" w:fill="F6F8FA"/>
            <w:tcMar>
              <w:top w:w="60" w:type="dxa"/>
              <w:left w:w="90" w:type="dxa"/>
              <w:bottom w:w="60" w:type="dxa"/>
              <w:right w:w="90" w:type="dxa"/>
            </w:tcMar>
          </w:tcPr>
          <w:p w14:paraId="52AC2BA7">
            <w:pPr>
              <w:spacing w:before="40" w:after="40" w:line="240" w:lineRule="auto"/>
              <w:jc w:val="left"/>
            </w:pPr>
            <w:r>
              <w:rPr>
                <w:rFonts w:ascii="Calibri" w:hAnsi="Calibri" w:eastAsia="Calibri" w:cs="Calibri"/>
                <w:color w:val="1C2733"/>
                <w:sz w:val="15"/>
                <w:szCs w:val="15"/>
              </w:rPr>
              <w:t>Use the full GRCh38 including ALT contigs</w:t>
            </w:r>
          </w:p>
        </w:tc>
        <w:tc>
          <w:tcPr>
            <w:tcW w:w="4324" w:type="dxa"/>
            <w:shd w:val="clear" w:color="auto" w:fill="F6F8FA"/>
            <w:tcMar>
              <w:top w:w="60" w:type="dxa"/>
              <w:left w:w="90" w:type="dxa"/>
              <w:bottom w:w="60" w:type="dxa"/>
              <w:right w:w="90" w:type="dxa"/>
            </w:tcMar>
          </w:tcPr>
          <w:p w14:paraId="7DEEE58F">
            <w:pPr>
              <w:spacing w:before="40" w:after="40" w:line="240" w:lineRule="auto"/>
              <w:jc w:val="left"/>
            </w:pPr>
            <w:r>
              <w:rPr>
                <w:rFonts w:ascii="Calibri" w:hAnsi="Calibri" w:eastAsia="Calibri" w:cs="Calibri"/>
                <w:color w:val="1C2733"/>
                <w:sz w:val="15"/>
                <w:szCs w:val="15"/>
              </w:rPr>
              <w:t>GATK "Reference Genome Components" and the ALT-aware mapping tutorial: aligning blindly to GRCh38+ALT yields many multi-mapping reads with MAPQ 0. Heng Li, "Which human reference genome to use?", recommends the no-ALT analysis set for callers that are not ALT-aware.</w:t>
            </w:r>
          </w:p>
        </w:tc>
        <w:tc>
          <w:tcPr>
            <w:tcW w:w="3400" w:type="dxa"/>
            <w:shd w:val="clear" w:color="auto" w:fill="F6F8FA"/>
            <w:tcMar>
              <w:top w:w="60" w:type="dxa"/>
              <w:left w:w="90" w:type="dxa"/>
              <w:bottom w:w="60" w:type="dxa"/>
              <w:right w:w="90" w:type="dxa"/>
            </w:tcMar>
          </w:tcPr>
          <w:p w14:paraId="18DAF36C">
            <w:pPr>
              <w:spacing w:before="40" w:after="40" w:line="240" w:lineRule="auto"/>
              <w:jc w:val="left"/>
            </w:pPr>
            <w:r>
              <w:rPr>
                <w:rFonts w:ascii="Calibri" w:hAnsi="Calibri" w:eastAsia="Calibri" w:cs="Calibri"/>
                <w:color w:val="1C2733"/>
                <w:sz w:val="15"/>
                <w:szCs w:val="15"/>
              </w:rPr>
              <w:t>MODIFIED. GRCh38 no-ALT analysis set (with decoys), since the rest of my stack is not ALT-aware.</w:t>
            </w:r>
          </w:p>
        </w:tc>
      </w:tr>
      <w:tr w14:paraId="7CAE778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tcMar>
              <w:top w:w="60" w:type="dxa"/>
              <w:left w:w="90" w:type="dxa"/>
              <w:bottom w:w="60" w:type="dxa"/>
              <w:right w:w="90" w:type="dxa"/>
            </w:tcMar>
          </w:tcPr>
          <w:p w14:paraId="2BD7D031">
            <w:pPr>
              <w:spacing w:before="40" w:after="40" w:line="240" w:lineRule="auto"/>
              <w:jc w:val="left"/>
            </w:pPr>
            <w:r>
              <w:rPr>
                <w:rFonts w:ascii="Calibri" w:hAnsi="Calibri" w:eastAsia="Calibri" w:cs="Calibri"/>
                <w:color w:val="1C2733"/>
                <w:sz w:val="15"/>
                <w:szCs w:val="15"/>
              </w:rPr>
              <w:t>Switch to the T2T-CHM13 assembly, "which is complete and therefore better"</w:t>
            </w:r>
          </w:p>
        </w:tc>
        <w:tc>
          <w:tcPr>
            <w:tcW w:w="4324" w:type="dxa"/>
            <w:tcMar>
              <w:top w:w="60" w:type="dxa"/>
              <w:left w:w="90" w:type="dxa"/>
              <w:bottom w:w="60" w:type="dxa"/>
              <w:right w:w="90" w:type="dxa"/>
            </w:tcMar>
          </w:tcPr>
          <w:p w14:paraId="74B5E3D8">
            <w:pPr>
              <w:spacing w:before="40" w:after="40" w:line="240" w:lineRule="auto"/>
              <w:jc w:val="left"/>
            </w:pPr>
            <w:r>
              <w:rPr>
                <w:rFonts w:ascii="Calibri" w:hAnsi="Calibri" w:eastAsia="Calibri" w:cs="Calibri"/>
                <w:color w:val="1C2733"/>
                <w:sz w:val="15"/>
                <w:szCs w:val="15"/>
              </w:rPr>
              <w:t>NCBI hosts T2T-CHM13v2.0 with RefSeq annotation and Ensembl serves it, but GRCh38 remains the primary annotated human genome. Ek et al. 2025 (Genome Research 35:2377) recommend T2T adoption for new studies yet note "a lack of original annotation and databases based on T2T-CHM13" and that lifted-over annotations can distort results.</w:t>
            </w:r>
          </w:p>
        </w:tc>
        <w:tc>
          <w:tcPr>
            <w:tcW w:w="3400" w:type="dxa"/>
            <w:tcMar>
              <w:top w:w="60" w:type="dxa"/>
              <w:left w:w="90" w:type="dxa"/>
              <w:bottom w:w="60" w:type="dxa"/>
              <w:right w:w="90" w:type="dxa"/>
            </w:tcMar>
          </w:tcPr>
          <w:p w14:paraId="0BAD0E4B">
            <w:pPr>
              <w:spacing w:before="40" w:after="40" w:line="240" w:lineRule="auto"/>
              <w:jc w:val="left"/>
            </w:pPr>
            <w:r>
              <w:rPr>
                <w:rFonts w:ascii="Calibri" w:hAnsi="Calibri" w:eastAsia="Calibri" w:cs="Calibri"/>
                <w:color w:val="1C2733"/>
                <w:sz w:val="15"/>
                <w:szCs w:val="15"/>
              </w:rPr>
              <w:t>REJECTED for this workflow. The blocker is the annotation and clinical-database ecosystem (ClinVar, gnomAD, MANE are GRCh38-native), not assembly quality. T2T-CHM13 is worth a targeted re-analysis of unresolved regions, not a wholesale switch.</w:t>
            </w:r>
          </w:p>
        </w:tc>
      </w:tr>
      <w:tr w14:paraId="5A31395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shd w:val="clear" w:color="auto" w:fill="F6F8FA"/>
            <w:tcMar>
              <w:top w:w="60" w:type="dxa"/>
              <w:left w:w="90" w:type="dxa"/>
              <w:bottom w:w="60" w:type="dxa"/>
              <w:right w:w="90" w:type="dxa"/>
            </w:tcMar>
          </w:tcPr>
          <w:p w14:paraId="09918981">
            <w:pPr>
              <w:spacing w:before="40" w:after="40" w:line="240" w:lineRule="auto"/>
              <w:jc w:val="left"/>
            </w:pPr>
            <w:r>
              <w:rPr>
                <w:rFonts w:ascii="Calibri" w:hAnsi="Calibri" w:eastAsia="Calibri" w:cs="Calibri"/>
                <w:color w:val="1C2733"/>
                <w:sz w:val="15"/>
                <w:szCs w:val="15"/>
              </w:rPr>
              <w:t>Filter the callset with VQSR</w:t>
            </w:r>
          </w:p>
        </w:tc>
        <w:tc>
          <w:tcPr>
            <w:tcW w:w="4324" w:type="dxa"/>
            <w:shd w:val="clear" w:color="auto" w:fill="F6F8FA"/>
            <w:tcMar>
              <w:top w:w="60" w:type="dxa"/>
              <w:left w:w="90" w:type="dxa"/>
              <w:bottom w:w="60" w:type="dxa"/>
              <w:right w:w="90" w:type="dxa"/>
            </w:tcMar>
          </w:tcPr>
          <w:p w14:paraId="2BDFF372">
            <w:pPr>
              <w:spacing w:before="40" w:after="40" w:line="240" w:lineRule="auto"/>
              <w:jc w:val="left"/>
            </w:pPr>
            <w:r>
              <w:rPr>
                <w:rFonts w:ascii="Calibri" w:hAnsi="Calibri" w:eastAsia="Calibri" w:cs="Calibri"/>
                <w:color w:val="1C2733"/>
                <w:sz w:val="15"/>
                <w:szCs w:val="15"/>
              </w:rPr>
              <w:t>GATK "How to filter variants either with VQSR or by hard filtering": VQSR is the Best-Practices recommendation, but hard filtering "is useful when the data cannot support VQSR", with small cohorts (e.g. fewer than thirty exomes) given as the typical case.</w:t>
            </w:r>
          </w:p>
        </w:tc>
        <w:tc>
          <w:tcPr>
            <w:tcW w:w="3400" w:type="dxa"/>
            <w:shd w:val="clear" w:color="auto" w:fill="F6F8FA"/>
            <w:tcMar>
              <w:top w:w="60" w:type="dxa"/>
              <w:left w:w="90" w:type="dxa"/>
              <w:bottom w:w="60" w:type="dxa"/>
              <w:right w:w="90" w:type="dxa"/>
            </w:tcMar>
          </w:tcPr>
          <w:p w14:paraId="678909F9">
            <w:pPr>
              <w:spacing w:before="40" w:after="40" w:line="240" w:lineRule="auto"/>
              <w:jc w:val="left"/>
            </w:pPr>
            <w:r>
              <w:rPr>
                <w:rFonts w:ascii="Calibri" w:hAnsi="Calibri" w:eastAsia="Calibri" w:cs="Calibri"/>
                <w:color w:val="1C2733"/>
                <w:sz w:val="15"/>
                <w:szCs w:val="15"/>
              </w:rPr>
              <w:t>REJECTED for this design. One sample cannot train VQSR; I use the documented hard-filter recipe, or the single-sample DRAGEN/CNN path, and I say which was used.</w:t>
            </w:r>
          </w:p>
        </w:tc>
      </w:tr>
      <w:tr w14:paraId="4EDAEBE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tcMar>
              <w:top w:w="60" w:type="dxa"/>
              <w:left w:w="90" w:type="dxa"/>
              <w:bottom w:w="60" w:type="dxa"/>
              <w:right w:w="90" w:type="dxa"/>
            </w:tcMar>
          </w:tcPr>
          <w:p w14:paraId="2D86DC2C">
            <w:pPr>
              <w:spacing w:before="40" w:after="40" w:line="240" w:lineRule="auto"/>
              <w:jc w:val="left"/>
            </w:pPr>
            <w:r>
              <w:rPr>
                <w:rFonts w:ascii="Calibri" w:hAnsi="Calibri" w:eastAsia="Calibri" w:cs="Calibri"/>
                <w:color w:val="1C2733"/>
                <w:sz w:val="15"/>
                <w:szCs w:val="15"/>
              </w:rPr>
              <w:t>Quality-trim aggressively (sliding window, Q30) before alignment</w:t>
            </w:r>
          </w:p>
        </w:tc>
        <w:tc>
          <w:tcPr>
            <w:tcW w:w="4324" w:type="dxa"/>
            <w:tcMar>
              <w:top w:w="60" w:type="dxa"/>
              <w:left w:w="90" w:type="dxa"/>
              <w:bottom w:w="60" w:type="dxa"/>
              <w:right w:w="90" w:type="dxa"/>
            </w:tcMar>
          </w:tcPr>
          <w:p w14:paraId="2562E038">
            <w:pPr>
              <w:spacing w:before="40" w:after="40" w:line="240" w:lineRule="auto"/>
              <w:jc w:val="left"/>
            </w:pPr>
            <w:r>
              <w:rPr>
                <w:rFonts w:ascii="Calibri" w:hAnsi="Calibri" w:eastAsia="Calibri" w:cs="Calibri"/>
                <w:color w:val="1C2733"/>
                <w:sz w:val="15"/>
                <w:szCs w:val="15"/>
              </w:rPr>
              <w:t>GATK data pre-processing documentation: base quality score recalibration models systematic error by cycle and context, i.e. exactly the low-quality tail that aggressive trimming removes. Trim Galore / fastp documentation recommends adapter removal with a minimum length rather than aggressive quality trimming for DNA libraries.</w:t>
            </w:r>
          </w:p>
        </w:tc>
        <w:tc>
          <w:tcPr>
            <w:tcW w:w="3400" w:type="dxa"/>
            <w:tcMar>
              <w:top w:w="60" w:type="dxa"/>
              <w:left w:w="90" w:type="dxa"/>
              <w:bottom w:w="60" w:type="dxa"/>
              <w:right w:w="90" w:type="dxa"/>
            </w:tcMar>
          </w:tcPr>
          <w:p w14:paraId="7BA7C8AE">
            <w:pPr>
              <w:spacing w:before="40" w:after="40" w:line="240" w:lineRule="auto"/>
              <w:jc w:val="left"/>
            </w:pPr>
            <w:r>
              <w:rPr>
                <w:rFonts w:ascii="Calibri" w:hAnsi="Calibri" w:eastAsia="Calibri" w:cs="Calibri"/>
                <w:color w:val="1C2733"/>
                <w:sz w:val="15"/>
                <w:szCs w:val="15"/>
              </w:rPr>
              <w:t>MODIFIED. Adapter trimming plus a light 3′ quality trim, minimum length 36 bp; recalibration is left to BQSR.</w:t>
            </w:r>
          </w:p>
        </w:tc>
      </w:tr>
      <w:tr w14:paraId="6D437C7B">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shd w:val="clear" w:color="auto" w:fill="F6F8FA"/>
            <w:tcMar>
              <w:top w:w="60" w:type="dxa"/>
              <w:left w:w="90" w:type="dxa"/>
              <w:bottom w:w="60" w:type="dxa"/>
              <w:right w:w="90" w:type="dxa"/>
            </w:tcMar>
          </w:tcPr>
          <w:p w14:paraId="48F5C816">
            <w:pPr>
              <w:spacing w:before="40" w:after="40" w:line="240" w:lineRule="auto"/>
              <w:jc w:val="left"/>
            </w:pPr>
            <w:r>
              <w:rPr>
                <w:rFonts w:ascii="Calibri" w:hAnsi="Calibri" w:eastAsia="Calibri" w:cs="Calibri"/>
                <w:color w:val="1C2733"/>
                <w:sz w:val="15"/>
                <w:szCs w:val="15"/>
              </w:rPr>
              <w:t>Remove duplicates at the FASTQ stage since FastQC reports 15% duplication</w:t>
            </w:r>
          </w:p>
        </w:tc>
        <w:tc>
          <w:tcPr>
            <w:tcW w:w="4324" w:type="dxa"/>
            <w:shd w:val="clear" w:color="auto" w:fill="F6F8FA"/>
            <w:tcMar>
              <w:top w:w="60" w:type="dxa"/>
              <w:left w:w="90" w:type="dxa"/>
              <w:bottom w:w="60" w:type="dxa"/>
              <w:right w:w="90" w:type="dxa"/>
            </w:tcMar>
          </w:tcPr>
          <w:p w14:paraId="754E2165">
            <w:pPr>
              <w:spacing w:before="40" w:after="40" w:line="240" w:lineRule="auto"/>
              <w:jc w:val="left"/>
            </w:pPr>
            <w:r>
              <w:rPr>
                <w:rFonts w:ascii="Calibri" w:hAnsi="Calibri" w:eastAsia="Calibri" w:cs="Calibri"/>
                <w:color w:val="1C2733"/>
                <w:sz w:val="15"/>
                <w:szCs w:val="15"/>
              </w:rPr>
              <w:t>FastQC Sequence Duplication Levels documentation: only the first 100,000 sequences are analysed and reads are truncated to 50 bp, so the figure is an estimate. GATK MarkDuplicates operates on alignment positions, which is the only definition of a duplicate that is meaningful for WGS.</w:t>
            </w:r>
          </w:p>
        </w:tc>
        <w:tc>
          <w:tcPr>
            <w:tcW w:w="3400" w:type="dxa"/>
            <w:shd w:val="clear" w:color="auto" w:fill="F6F8FA"/>
            <w:tcMar>
              <w:top w:w="60" w:type="dxa"/>
              <w:left w:w="90" w:type="dxa"/>
              <w:bottom w:w="60" w:type="dxa"/>
              <w:right w:w="90" w:type="dxa"/>
            </w:tcMar>
          </w:tcPr>
          <w:p w14:paraId="26D6A605">
            <w:pPr>
              <w:spacing w:before="40" w:after="40" w:line="240" w:lineRule="auto"/>
              <w:jc w:val="left"/>
            </w:pPr>
            <w:r>
              <w:rPr>
                <w:rFonts w:ascii="Calibri" w:hAnsi="Calibri" w:eastAsia="Calibri" w:cs="Calibri"/>
                <w:color w:val="1C2733"/>
                <w:sz w:val="15"/>
                <w:szCs w:val="15"/>
              </w:rPr>
              <w:t>REJECTED. Duplicates are marked (not removed) after alignment. The FastQC number is a flag to investigate, not a quantity to act on.</w:t>
            </w:r>
          </w:p>
        </w:tc>
      </w:tr>
      <w:tr w14:paraId="2E8B224B">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500" w:type="dxa"/>
            <w:tcMar>
              <w:top w:w="60" w:type="dxa"/>
              <w:left w:w="90" w:type="dxa"/>
              <w:bottom w:w="60" w:type="dxa"/>
              <w:right w:w="90" w:type="dxa"/>
            </w:tcMar>
          </w:tcPr>
          <w:p w14:paraId="739E4D13">
            <w:pPr>
              <w:spacing w:before="40" w:after="40" w:line="240" w:lineRule="auto"/>
              <w:jc w:val="left"/>
            </w:pPr>
            <w:r>
              <w:rPr>
                <w:rFonts w:ascii="Calibri" w:hAnsi="Calibri" w:eastAsia="Calibri" w:cs="Calibri"/>
                <w:color w:val="1C2733"/>
                <w:sz w:val="15"/>
                <w:szCs w:val="15"/>
              </w:rPr>
              <w:t>Use BWA-MEM for alignment</w:t>
            </w:r>
          </w:p>
        </w:tc>
        <w:tc>
          <w:tcPr>
            <w:tcW w:w="4324" w:type="dxa"/>
            <w:tcMar>
              <w:top w:w="60" w:type="dxa"/>
              <w:left w:w="90" w:type="dxa"/>
              <w:bottom w:w="60" w:type="dxa"/>
              <w:right w:w="90" w:type="dxa"/>
            </w:tcMar>
          </w:tcPr>
          <w:p w14:paraId="1EF458DE">
            <w:pPr>
              <w:spacing w:before="40" w:after="40" w:line="240" w:lineRule="auto"/>
              <w:jc w:val="left"/>
            </w:pPr>
            <w:r>
              <w:rPr>
                <w:rFonts w:ascii="Calibri" w:hAnsi="Calibri" w:eastAsia="Calibri" w:cs="Calibri"/>
                <w:color w:val="1C2733"/>
                <w:sz w:val="15"/>
                <w:szCs w:val="15"/>
              </w:rPr>
              <w:t>Li 2013 (arXiv:1303.3997) for BWA-MEM; bwa-mem2 documentation reports identical alignment output with a 2–3× speed-up at the cost of a larger index footprint. For RNA, Dobin 2013 (STAR); ENCODE's ATAC pipeline uses Bowtie2.</w:t>
            </w:r>
          </w:p>
        </w:tc>
        <w:tc>
          <w:tcPr>
            <w:tcW w:w="3400" w:type="dxa"/>
            <w:tcMar>
              <w:top w:w="60" w:type="dxa"/>
              <w:left w:w="90" w:type="dxa"/>
              <w:bottom w:w="60" w:type="dxa"/>
              <w:right w:w="90" w:type="dxa"/>
            </w:tcMar>
          </w:tcPr>
          <w:p w14:paraId="20AB23BF">
            <w:pPr>
              <w:spacing w:before="40" w:after="40" w:line="240" w:lineRule="auto"/>
              <w:jc w:val="left"/>
            </w:pPr>
            <w:r>
              <w:rPr>
                <w:rFonts w:ascii="Calibri" w:hAnsi="Calibri" w:eastAsia="Calibri" w:cs="Calibri"/>
                <w:color w:val="1C2733"/>
                <w:sz w:val="15"/>
                <w:szCs w:val="15"/>
              </w:rPr>
              <w:t>ACCEPTED with substitution: bwa-mem2 for DNA, STAR for the RNA-seq samples in the manifest, Bowtie2 for the ATAC samples, so that each assay is aligned by the tool its data standard specifies.</w:t>
            </w:r>
          </w:p>
        </w:tc>
      </w:tr>
      <w:tr w14:paraId="33FF6C3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PrEx>
        <w:tc>
          <w:tcPr>
            <w:tcW w:w="2500" w:type="dxa"/>
            <w:shd w:val="clear" w:color="auto" w:fill="F6F8FA"/>
            <w:tcMar>
              <w:top w:w="60" w:type="dxa"/>
              <w:left w:w="90" w:type="dxa"/>
              <w:bottom w:w="60" w:type="dxa"/>
              <w:right w:w="90" w:type="dxa"/>
            </w:tcMar>
          </w:tcPr>
          <w:p w14:paraId="5FA68ED5">
            <w:pPr>
              <w:spacing w:before="40" w:after="40" w:line="240" w:lineRule="auto"/>
              <w:jc w:val="left"/>
            </w:pPr>
            <w:r>
              <w:rPr>
                <w:rFonts w:ascii="Calibri" w:hAnsi="Calibri" w:eastAsia="Calibri" w:cs="Calibri"/>
                <w:color w:val="1C2733"/>
                <w:sz w:val="15"/>
                <w:szCs w:val="15"/>
              </w:rPr>
              <w:t>Report variants directly from the annotated VCF</w:t>
            </w:r>
          </w:p>
        </w:tc>
        <w:tc>
          <w:tcPr>
            <w:tcW w:w="4324" w:type="dxa"/>
            <w:shd w:val="clear" w:color="auto" w:fill="F6F8FA"/>
            <w:tcMar>
              <w:top w:w="60" w:type="dxa"/>
              <w:left w:w="90" w:type="dxa"/>
              <w:bottom w:w="60" w:type="dxa"/>
              <w:right w:w="90" w:type="dxa"/>
            </w:tcMar>
          </w:tcPr>
          <w:p w14:paraId="4910F45D">
            <w:pPr>
              <w:spacing w:before="40" w:after="40" w:line="240" w:lineRule="auto"/>
              <w:jc w:val="left"/>
            </w:pPr>
            <w:r>
              <w:rPr>
                <w:rFonts w:ascii="Calibri" w:hAnsi="Calibri" w:eastAsia="Calibri" w:cs="Calibri"/>
                <w:color w:val="1C2733"/>
                <w:sz w:val="15"/>
                <w:szCs w:val="15"/>
              </w:rPr>
              <w:t>Personal inspection requirement, supported by every clinical-grade pipeline description: annotation carries no information about mappability, strand bias or repeat context.</w:t>
            </w:r>
          </w:p>
        </w:tc>
        <w:tc>
          <w:tcPr>
            <w:tcW w:w="3400" w:type="dxa"/>
            <w:shd w:val="clear" w:color="auto" w:fill="F6F8FA"/>
            <w:tcMar>
              <w:top w:w="60" w:type="dxa"/>
              <w:left w:w="90" w:type="dxa"/>
              <w:bottom w:w="60" w:type="dxa"/>
              <w:right w:w="90" w:type="dxa"/>
            </w:tcMar>
          </w:tcPr>
          <w:p w14:paraId="6E961FB5">
            <w:pPr>
              <w:spacing w:before="40" w:after="40" w:line="240" w:lineRule="auto"/>
              <w:jc w:val="left"/>
            </w:pPr>
            <w:r>
              <w:rPr>
                <w:rFonts w:ascii="Calibri" w:hAnsi="Calibri" w:eastAsia="Calibri" w:cs="Calibri"/>
                <w:color w:val="1C2733"/>
                <w:sz w:val="15"/>
                <w:szCs w:val="15"/>
              </w:rPr>
              <w:t>MODIFIED. No variant is reported until its pile-up has been inspected in IGV and its mappability context checked.</w:t>
            </w:r>
          </w:p>
        </w:tc>
      </w:tr>
    </w:tbl>
    <w:p w14:paraId="619D1EA5">
      <w:pPr>
        <w:pStyle w:val="3"/>
        <w:spacing w:before="260" w:after="100"/>
      </w:pPr>
      <w:r>
        <w:rPr>
          <w:rFonts w:ascii="Calibri" w:hAnsi="Calibri" w:eastAsia="Calibri" w:cs="Calibri"/>
          <w:b/>
          <w:bCs/>
          <w:color w:val="1C2733"/>
          <w:sz w:val="24"/>
          <w:szCs w:val="24"/>
        </w:rPr>
        <w:t>4.  Final conclusion</w:t>
      </w:r>
      <w:bookmarkStart w:id="0" w:name="_GoBack"/>
      <w:bookmarkEnd w:id="0"/>
    </w:p>
    <w:p w14:paraId="6FD6184F">
      <w:pPr>
        <w:spacing w:before="160" w:after="60"/>
        <w:jc w:val="center"/>
      </w:pPr>
      <w:r>
        <w:drawing>
          <wp:inline distT="0" distB="0" distL="0" distR="0">
            <wp:extent cx="6448425" cy="58578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6448425" cy="5857875"/>
                    </a:xfrm>
                    <a:prstGeom prst="rect">
                      <a:avLst/>
                    </a:prstGeom>
                  </pic:spPr>
                </pic:pic>
              </a:graphicData>
            </a:graphic>
          </wp:inline>
        </w:drawing>
      </w:r>
    </w:p>
    <w:p w14:paraId="48AF9F8A">
      <w:pPr>
        <w:spacing w:before="0" w:after="200"/>
        <w:jc w:val="center"/>
      </w:pPr>
      <w:r>
        <w:rPr>
          <w:rFonts w:ascii="Calibri" w:hAnsi="Calibri" w:eastAsia="Calibri" w:cs="Calibri"/>
          <w:i/>
          <w:iCs/>
          <w:color w:val="5A6672"/>
          <w:sz w:val="17"/>
          <w:szCs w:val="17"/>
        </w:rPr>
        <w:t>Figure 2. Final workflow. Each step is paired with the checkpoint that must pass before the next step runs; no AI-proposed tool, parameter or genome build enters the pipeline until it has been checked against that tool's own documentation.</w:t>
      </w:r>
    </w:p>
    <w:p w14:paraId="600CEBEC">
      <w:pPr>
        <w:spacing w:before="60" w:after="100" w:line="276" w:lineRule="auto"/>
        <w:jc w:val="left"/>
      </w:pPr>
      <w:r>
        <w:rPr>
          <w:rFonts w:ascii="Calibri" w:hAnsi="Calibri" w:eastAsia="Calibri" w:cs="Calibri"/>
          <w:color w:val="1C2733"/>
          <w:sz w:val="21"/>
          <w:szCs w:val="21"/>
        </w:rPr>
        <w:t>The workflow itself is unremarkable — it is close to what any competent laboratory would run. What makes it trustworthy is not the tool list but the four things attached to it: a declared genome build and annotation release, a stated acceptance criterion at every step, a record of which parameters are non-default and why, and an audit trail showing where the AI's recommendation was rejected. A workflow without those four is a set of commands, not a method.</w:t>
      </w:r>
    </w:p>
    <w:p w14:paraId="29B973C1">
      <w:pPr>
        <w:pBdr>
          <w:left w:val="single" w:color="2B6CA3" w:sz="18" w:space="8"/>
        </w:pBdr>
        <w:shd w:val="clear" w:fill="EAF1F7"/>
        <w:spacing w:before="180" w:after="180" w:line="276" w:lineRule="auto"/>
        <w:ind w:left="200" w:right="200"/>
      </w:pPr>
      <w:r>
        <w:rPr>
          <w:rFonts w:ascii="Calibri" w:hAnsi="Calibri" w:eastAsia="Calibri" w:cs="Calibri"/>
          <w:b/>
          <w:bCs/>
          <w:color w:val="15405F"/>
          <w:sz w:val="21"/>
          <w:szCs w:val="21"/>
        </w:rPr>
        <w:t>The analyst, not the AI, is responsible for… the genome build and annotation release the results are expressed in; every threshold that was applied and the justification for it; whether the QC pattern actually supports the correction that was made; whether the tool's documentation says what the recommendation claims it says; and the final statement of what the data cannot distinguish. The AI can accelerate every one of those steps and can be wrong in all of them — as it was here on the genome build, on VQSR and on duplicate removal — and a wrong answer that is never checked becomes the analyst's error, not the model's.</w:t>
      </w:r>
    </w:p>
    <w:p w14:paraId="66C8BCC8">
      <w:r>
        <w:br w:type="page"/>
      </w:r>
    </w:p>
    <w:p w14:paraId="6E503778">
      <w:pPr>
        <w:pStyle w:val="2"/>
        <w:pBdr>
          <w:bottom w:val="single" w:color="2B6CA3" w:sz="10" w:space="4"/>
        </w:pBdr>
        <w:spacing w:before="320" w:after="140"/>
      </w:pPr>
      <w:r>
        <w:rPr>
          <w:rFonts w:ascii="Calibri" w:hAnsi="Calibri" w:eastAsia="Calibri" w:cs="Calibri"/>
          <w:b/>
          <w:bCs/>
          <w:color w:val="2B6CA3"/>
          <w:sz w:val="28"/>
          <w:szCs w:val="28"/>
        </w:rPr>
        <w:t>Question 3 — Integrate Multi-Omics Evidence into a Regulatory Hypothesis</w:t>
      </w:r>
    </w:p>
    <w:p w14:paraId="484AA862">
      <w:pPr>
        <w:spacing w:before="60" w:after="100" w:line="276" w:lineRule="auto"/>
        <w:jc w:val="left"/>
      </w:pPr>
      <w:r>
        <w:rPr>
          <w:rFonts w:ascii="Calibri" w:hAnsi="Calibri" w:eastAsia="Calibri" w:cs="Calibri"/>
          <w:b/>
          <w:bCs/>
          <w:color w:val="1C2733"/>
          <w:sz w:val="21"/>
          <w:szCs w:val="21"/>
        </w:rPr>
        <w:t xml:space="preserve">Problem. </w:t>
      </w:r>
      <w:r>
        <w:rPr>
          <w:rFonts w:ascii="Calibri" w:hAnsi="Calibri" w:eastAsia="Calibri" w:cs="Calibri"/>
          <w:color w:val="1C2733"/>
          <w:sz w:val="21"/>
          <w:szCs w:val="21"/>
        </w:rPr>
        <w:t>A candidate regulatory region lies upstream of Gene Y. ATAC-seq, H3K27ac ChIP-seq/CUT&amp;Tag, DNA methylation, Hi-C/Micro-C and RNA-seq are available from the same biological condition. Is the region a plausible enhancer of Gene Y?</w:t>
      </w:r>
    </w:p>
    <w:p w14:paraId="0B5F3FFB">
      <w:pPr>
        <w:pStyle w:val="3"/>
        <w:spacing w:before="260" w:after="100"/>
      </w:pPr>
      <w:r>
        <w:rPr>
          <w:rFonts w:ascii="Calibri" w:hAnsi="Calibri" w:eastAsia="Calibri" w:cs="Calibri"/>
          <w:b/>
          <w:bCs/>
          <w:color w:val="1C2733"/>
          <w:sz w:val="24"/>
          <w:szCs w:val="24"/>
        </w:rPr>
        <w:t>1.  My reasoning before AI</w:t>
      </w:r>
    </w:p>
    <w:p w14:paraId="49E8D597">
      <w:pPr>
        <w:spacing w:before="60" w:after="100" w:line="276" w:lineRule="auto"/>
        <w:jc w:val="left"/>
      </w:pPr>
      <w:r>
        <w:rPr>
          <w:rFonts w:ascii="Calibri" w:hAnsi="Calibri" w:eastAsia="Calibri" w:cs="Calibri"/>
          <w:color w:val="1C2733"/>
          <w:sz w:val="21"/>
          <w:szCs w:val="21"/>
        </w:rPr>
        <w:t>I read each layer on its own first, deliberately refusing to let the later layers colour the earlier ones. The discipline that matters here is separating what was measured from what it is taken to mean.</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1200"/>
        <w:gridCol w:w="2900"/>
        <w:gridCol w:w="2800"/>
        <w:gridCol w:w="3324"/>
      </w:tblGrid>
      <w:tr w14:paraId="6D3860D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1200" w:type="dxa"/>
            <w:shd w:val="clear" w:color="auto" w:fill="DCE7F1"/>
            <w:tcMar>
              <w:top w:w="60" w:type="dxa"/>
              <w:left w:w="90" w:type="dxa"/>
              <w:bottom w:w="60" w:type="dxa"/>
              <w:right w:w="90" w:type="dxa"/>
            </w:tcMar>
          </w:tcPr>
          <w:p w14:paraId="47707D10">
            <w:pPr>
              <w:spacing w:before="40" w:after="40" w:line="240" w:lineRule="auto"/>
              <w:jc w:val="left"/>
            </w:pPr>
            <w:r>
              <w:rPr>
                <w:rFonts w:ascii="Calibri" w:hAnsi="Calibri" w:eastAsia="Calibri" w:cs="Calibri"/>
                <w:b/>
                <w:bCs/>
                <w:color w:val="1C2733"/>
                <w:sz w:val="15"/>
                <w:szCs w:val="15"/>
              </w:rPr>
              <w:t>Layer</w:t>
            </w:r>
          </w:p>
        </w:tc>
        <w:tc>
          <w:tcPr>
            <w:tcW w:w="2900" w:type="dxa"/>
            <w:shd w:val="clear" w:color="auto" w:fill="DCE7F1"/>
            <w:tcMar>
              <w:top w:w="60" w:type="dxa"/>
              <w:left w:w="90" w:type="dxa"/>
              <w:bottom w:w="60" w:type="dxa"/>
              <w:right w:w="90" w:type="dxa"/>
            </w:tcMar>
          </w:tcPr>
          <w:p w14:paraId="03836C42">
            <w:pPr>
              <w:spacing w:before="40" w:after="40" w:line="240" w:lineRule="auto"/>
              <w:jc w:val="left"/>
            </w:pPr>
            <w:r>
              <w:rPr>
                <w:rFonts w:ascii="Calibri" w:hAnsi="Calibri" w:eastAsia="Calibri" w:cs="Calibri"/>
                <w:b/>
                <w:bCs/>
                <w:color w:val="1C2733"/>
                <w:sz w:val="15"/>
                <w:szCs w:val="15"/>
              </w:rPr>
              <w:t>Direct observation (what was measured)</w:t>
            </w:r>
          </w:p>
        </w:tc>
        <w:tc>
          <w:tcPr>
            <w:tcW w:w="2800" w:type="dxa"/>
            <w:shd w:val="clear" w:color="auto" w:fill="DCE7F1"/>
            <w:tcMar>
              <w:top w:w="60" w:type="dxa"/>
              <w:left w:w="90" w:type="dxa"/>
              <w:bottom w:w="60" w:type="dxa"/>
              <w:right w:w="90" w:type="dxa"/>
            </w:tcMar>
          </w:tcPr>
          <w:p w14:paraId="7F443199">
            <w:pPr>
              <w:spacing w:before="40" w:after="40" w:line="240" w:lineRule="auto"/>
              <w:jc w:val="left"/>
            </w:pPr>
            <w:r>
              <w:rPr>
                <w:rFonts w:ascii="Calibri" w:hAnsi="Calibri" w:eastAsia="Calibri" w:cs="Calibri"/>
                <w:b/>
                <w:bCs/>
                <w:color w:val="1C2733"/>
                <w:sz w:val="15"/>
                <w:szCs w:val="15"/>
              </w:rPr>
              <w:t>My interpretation (what I infer)</w:t>
            </w:r>
          </w:p>
        </w:tc>
        <w:tc>
          <w:tcPr>
            <w:tcW w:w="3324" w:type="dxa"/>
            <w:shd w:val="clear" w:color="auto" w:fill="DCE7F1"/>
            <w:tcMar>
              <w:top w:w="60" w:type="dxa"/>
              <w:left w:w="90" w:type="dxa"/>
              <w:bottom w:w="60" w:type="dxa"/>
              <w:right w:w="90" w:type="dxa"/>
            </w:tcMar>
          </w:tcPr>
          <w:p w14:paraId="196BE6C2">
            <w:pPr>
              <w:spacing w:before="40" w:after="40" w:line="240" w:lineRule="auto"/>
              <w:jc w:val="left"/>
            </w:pPr>
            <w:r>
              <w:rPr>
                <w:rFonts w:ascii="Calibri" w:hAnsi="Calibri" w:eastAsia="Calibri" w:cs="Calibri"/>
                <w:b/>
                <w:bCs/>
                <w:color w:val="1C2733"/>
                <w:sz w:val="15"/>
                <w:szCs w:val="15"/>
              </w:rPr>
              <w:t>Missing evidence (what would be needed)</w:t>
            </w:r>
          </w:p>
        </w:tc>
      </w:tr>
      <w:tr w14:paraId="2BBFF13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200" w:type="dxa"/>
            <w:tcMar>
              <w:top w:w="60" w:type="dxa"/>
              <w:left w:w="90" w:type="dxa"/>
              <w:bottom w:w="60" w:type="dxa"/>
              <w:right w:w="90" w:type="dxa"/>
            </w:tcMar>
          </w:tcPr>
          <w:p w14:paraId="0201F83D">
            <w:pPr>
              <w:spacing w:before="40" w:after="40" w:line="240" w:lineRule="auto"/>
              <w:jc w:val="left"/>
            </w:pPr>
            <w:r>
              <w:rPr>
                <w:rFonts w:ascii="Calibri" w:hAnsi="Calibri" w:eastAsia="Calibri" w:cs="Calibri"/>
                <w:color w:val="1C2733"/>
                <w:sz w:val="15"/>
                <w:szCs w:val="15"/>
              </w:rPr>
              <w:t>ATAC-seq</w:t>
            </w:r>
          </w:p>
        </w:tc>
        <w:tc>
          <w:tcPr>
            <w:tcW w:w="2900" w:type="dxa"/>
            <w:tcMar>
              <w:top w:w="60" w:type="dxa"/>
              <w:left w:w="90" w:type="dxa"/>
              <w:bottom w:w="60" w:type="dxa"/>
              <w:right w:w="90" w:type="dxa"/>
            </w:tcMar>
          </w:tcPr>
          <w:p w14:paraId="258C7EAC">
            <w:pPr>
              <w:spacing w:before="40" w:after="40" w:line="240" w:lineRule="auto"/>
              <w:jc w:val="left"/>
            </w:pPr>
            <w:r>
              <w:rPr>
                <w:rFonts w:ascii="Calibri" w:hAnsi="Calibri" w:eastAsia="Calibri" w:cs="Calibri"/>
                <w:color w:val="1C2733"/>
                <w:sz w:val="15"/>
                <w:szCs w:val="15"/>
              </w:rPr>
              <w:t>A Tn5 insertion peak over the candidate region, higher in the disease condition than in control.</w:t>
            </w:r>
          </w:p>
        </w:tc>
        <w:tc>
          <w:tcPr>
            <w:tcW w:w="2800" w:type="dxa"/>
            <w:tcMar>
              <w:top w:w="60" w:type="dxa"/>
              <w:left w:w="90" w:type="dxa"/>
              <w:bottom w:w="60" w:type="dxa"/>
              <w:right w:w="90" w:type="dxa"/>
            </w:tcMar>
          </w:tcPr>
          <w:p w14:paraId="3C2085EE">
            <w:pPr>
              <w:spacing w:before="40" w:after="40" w:line="240" w:lineRule="auto"/>
              <w:jc w:val="left"/>
            </w:pPr>
            <w:r>
              <w:rPr>
                <w:rFonts w:ascii="Calibri" w:hAnsi="Calibri" w:eastAsia="Calibri" w:cs="Calibri"/>
                <w:color w:val="1C2733"/>
                <w:sz w:val="15"/>
                <w:szCs w:val="15"/>
              </w:rPr>
              <w:t>The region is nucleosome-depleted and therefore bindable by transcription factors in this cell state.</w:t>
            </w:r>
          </w:p>
        </w:tc>
        <w:tc>
          <w:tcPr>
            <w:tcW w:w="3324" w:type="dxa"/>
            <w:tcMar>
              <w:top w:w="60" w:type="dxa"/>
              <w:left w:w="90" w:type="dxa"/>
              <w:bottom w:w="60" w:type="dxa"/>
              <w:right w:w="90" w:type="dxa"/>
            </w:tcMar>
          </w:tcPr>
          <w:p w14:paraId="028FF3EF">
            <w:pPr>
              <w:spacing w:before="40" w:after="40" w:line="240" w:lineRule="auto"/>
              <w:jc w:val="left"/>
            </w:pPr>
            <w:r>
              <w:rPr>
                <w:rFonts w:ascii="Calibri" w:hAnsi="Calibri" w:eastAsia="Calibri" w:cs="Calibri"/>
                <w:color w:val="1C2733"/>
                <w:sz w:val="15"/>
                <w:szCs w:val="15"/>
              </w:rPr>
              <w:t>Which TF occupies it (footprinting or TF CUT&amp;RUN); whether the difference reflects a change within cells or a change in cell-type composition of the sample.</w:t>
            </w:r>
          </w:p>
        </w:tc>
      </w:tr>
      <w:tr w14:paraId="5E92554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200" w:type="dxa"/>
            <w:shd w:val="clear" w:color="auto" w:fill="F6F8FA"/>
            <w:tcMar>
              <w:top w:w="60" w:type="dxa"/>
              <w:left w:w="90" w:type="dxa"/>
              <w:bottom w:w="60" w:type="dxa"/>
              <w:right w:w="90" w:type="dxa"/>
            </w:tcMar>
          </w:tcPr>
          <w:p w14:paraId="32236657">
            <w:pPr>
              <w:spacing w:before="40" w:after="40" w:line="240" w:lineRule="auto"/>
              <w:jc w:val="left"/>
            </w:pPr>
            <w:r>
              <w:rPr>
                <w:rFonts w:ascii="Calibri" w:hAnsi="Calibri" w:eastAsia="Calibri" w:cs="Calibri"/>
                <w:color w:val="1C2733"/>
                <w:sz w:val="15"/>
                <w:szCs w:val="15"/>
              </w:rPr>
              <w:t>H3K27ac</w:t>
            </w:r>
          </w:p>
        </w:tc>
        <w:tc>
          <w:tcPr>
            <w:tcW w:w="2900" w:type="dxa"/>
            <w:shd w:val="clear" w:color="auto" w:fill="F6F8FA"/>
            <w:tcMar>
              <w:top w:w="60" w:type="dxa"/>
              <w:left w:w="90" w:type="dxa"/>
              <w:bottom w:w="60" w:type="dxa"/>
              <w:right w:w="90" w:type="dxa"/>
            </w:tcMar>
          </w:tcPr>
          <w:p w14:paraId="4BECC026">
            <w:pPr>
              <w:spacing w:before="40" w:after="40" w:line="240" w:lineRule="auto"/>
              <w:jc w:val="left"/>
            </w:pPr>
            <w:r>
              <w:rPr>
                <w:rFonts w:ascii="Calibri" w:hAnsi="Calibri" w:eastAsia="Calibri" w:cs="Calibri"/>
                <w:color w:val="1C2733"/>
                <w:sz w:val="15"/>
                <w:szCs w:val="15"/>
              </w:rPr>
              <w:t>An H3K27ac domain flanking the accessible peak, with low H3K4me3 — an enhancer-like rather than promoter-like signature.</w:t>
            </w:r>
          </w:p>
        </w:tc>
        <w:tc>
          <w:tcPr>
            <w:tcW w:w="2800" w:type="dxa"/>
            <w:shd w:val="clear" w:color="auto" w:fill="F6F8FA"/>
            <w:tcMar>
              <w:top w:w="60" w:type="dxa"/>
              <w:left w:w="90" w:type="dxa"/>
              <w:bottom w:w="60" w:type="dxa"/>
              <w:right w:w="90" w:type="dxa"/>
            </w:tcMar>
          </w:tcPr>
          <w:p w14:paraId="03987A71">
            <w:pPr>
              <w:spacing w:before="40" w:after="40" w:line="240" w:lineRule="auto"/>
              <w:jc w:val="left"/>
            </w:pPr>
            <w:r>
              <w:rPr>
                <w:rFonts w:ascii="Calibri" w:hAnsi="Calibri" w:eastAsia="Calibri" w:cs="Calibri"/>
                <w:color w:val="1C2733"/>
                <w:sz w:val="15"/>
                <w:szCs w:val="15"/>
              </w:rPr>
              <w:t>The region is in an active chromatin state and has recruited p300/CBP activity.</w:t>
            </w:r>
          </w:p>
        </w:tc>
        <w:tc>
          <w:tcPr>
            <w:tcW w:w="3324" w:type="dxa"/>
            <w:shd w:val="clear" w:color="auto" w:fill="F6F8FA"/>
            <w:tcMar>
              <w:top w:w="60" w:type="dxa"/>
              <w:left w:w="90" w:type="dxa"/>
              <w:bottom w:w="60" w:type="dxa"/>
              <w:right w:w="90" w:type="dxa"/>
            </w:tcMar>
          </w:tcPr>
          <w:p w14:paraId="402D8969">
            <w:pPr>
              <w:spacing w:before="40" w:after="40" w:line="240" w:lineRule="auto"/>
              <w:jc w:val="left"/>
            </w:pPr>
            <w:r>
              <w:rPr>
                <w:rFonts w:ascii="Calibri" w:hAnsi="Calibri" w:eastAsia="Calibri" w:cs="Calibri"/>
                <w:color w:val="1C2733"/>
                <w:sz w:val="15"/>
                <w:szCs w:val="15"/>
              </w:rPr>
              <w:t>Whether the acetylation is required: H3K27ac is a correlate, not a demonstrated causal intermediate. Also the IgG/input control and replicate structure, without which the domain is not quantitative.</w:t>
            </w:r>
          </w:p>
        </w:tc>
      </w:tr>
      <w:tr w14:paraId="7B9A3E8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200" w:type="dxa"/>
            <w:tcMar>
              <w:top w:w="60" w:type="dxa"/>
              <w:left w:w="90" w:type="dxa"/>
              <w:bottom w:w="60" w:type="dxa"/>
              <w:right w:w="90" w:type="dxa"/>
            </w:tcMar>
          </w:tcPr>
          <w:p w14:paraId="2AD37B08">
            <w:pPr>
              <w:spacing w:before="40" w:after="40" w:line="240" w:lineRule="auto"/>
              <w:jc w:val="left"/>
            </w:pPr>
            <w:r>
              <w:rPr>
                <w:rFonts w:ascii="Calibri" w:hAnsi="Calibri" w:eastAsia="Calibri" w:cs="Calibri"/>
                <w:color w:val="1C2733"/>
                <w:sz w:val="15"/>
                <w:szCs w:val="15"/>
              </w:rPr>
              <w:t>DNA methylation</w:t>
            </w:r>
          </w:p>
        </w:tc>
        <w:tc>
          <w:tcPr>
            <w:tcW w:w="2900" w:type="dxa"/>
            <w:tcMar>
              <w:top w:w="60" w:type="dxa"/>
              <w:left w:w="90" w:type="dxa"/>
              <w:bottom w:w="60" w:type="dxa"/>
              <w:right w:w="90" w:type="dxa"/>
            </w:tcMar>
          </w:tcPr>
          <w:p w14:paraId="72028316">
            <w:pPr>
              <w:spacing w:before="40" w:after="40" w:line="240" w:lineRule="auto"/>
              <w:jc w:val="left"/>
            </w:pPr>
            <w:r>
              <w:rPr>
                <w:rFonts w:ascii="Calibri" w:hAnsi="Calibri" w:eastAsia="Calibri" w:cs="Calibri"/>
                <w:color w:val="1C2733"/>
                <w:sz w:val="15"/>
                <w:szCs w:val="15"/>
              </w:rPr>
              <w:t>CpGs across the region are hypomethylated in the same condition.</w:t>
            </w:r>
          </w:p>
        </w:tc>
        <w:tc>
          <w:tcPr>
            <w:tcW w:w="2800" w:type="dxa"/>
            <w:tcMar>
              <w:top w:w="60" w:type="dxa"/>
              <w:left w:w="90" w:type="dxa"/>
              <w:bottom w:w="60" w:type="dxa"/>
              <w:right w:w="90" w:type="dxa"/>
            </w:tcMar>
          </w:tcPr>
          <w:p w14:paraId="0870FB6F">
            <w:pPr>
              <w:spacing w:before="40" w:after="40" w:line="240" w:lineRule="auto"/>
              <w:jc w:val="left"/>
            </w:pPr>
            <w:r>
              <w:rPr>
                <w:rFonts w:ascii="Calibri" w:hAnsi="Calibri" w:eastAsia="Calibri" w:cs="Calibri"/>
                <w:color w:val="1C2733"/>
                <w:sz w:val="15"/>
                <w:szCs w:val="15"/>
              </w:rPr>
              <w:t>Consistent with TF occupancy and an unmethylated, accessible element.</w:t>
            </w:r>
          </w:p>
        </w:tc>
        <w:tc>
          <w:tcPr>
            <w:tcW w:w="3324" w:type="dxa"/>
            <w:tcMar>
              <w:top w:w="60" w:type="dxa"/>
              <w:left w:w="90" w:type="dxa"/>
              <w:bottom w:w="60" w:type="dxa"/>
              <w:right w:w="90" w:type="dxa"/>
            </w:tcMar>
          </w:tcPr>
          <w:p w14:paraId="2D66F7A8">
            <w:pPr>
              <w:spacing w:before="40" w:after="40" w:line="240" w:lineRule="auto"/>
              <w:jc w:val="left"/>
            </w:pPr>
            <w:r>
              <w:rPr>
                <w:rFonts w:ascii="Calibri" w:hAnsi="Calibri" w:eastAsia="Calibri" w:cs="Calibri"/>
                <w:color w:val="1C2733"/>
                <w:sz w:val="15"/>
                <w:szCs w:val="15"/>
              </w:rPr>
              <w:t>Direction of causality — TF binding commonly causes local hypomethylation rather than following it; and 5mC versus 5hmC, which neither WGBS nor EM-seq distinguishes.</w:t>
            </w:r>
          </w:p>
        </w:tc>
      </w:tr>
      <w:tr w14:paraId="0847512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200" w:type="dxa"/>
            <w:shd w:val="clear" w:color="auto" w:fill="F6F8FA"/>
            <w:tcMar>
              <w:top w:w="60" w:type="dxa"/>
              <w:left w:w="90" w:type="dxa"/>
              <w:bottom w:w="60" w:type="dxa"/>
              <w:right w:w="90" w:type="dxa"/>
            </w:tcMar>
          </w:tcPr>
          <w:p w14:paraId="1A8A0837">
            <w:pPr>
              <w:spacing w:before="40" w:after="40" w:line="240" w:lineRule="auto"/>
              <w:jc w:val="left"/>
            </w:pPr>
            <w:r>
              <w:rPr>
                <w:rFonts w:ascii="Calibri" w:hAnsi="Calibri" w:eastAsia="Calibri" w:cs="Calibri"/>
                <w:color w:val="1C2733"/>
                <w:sz w:val="15"/>
                <w:szCs w:val="15"/>
              </w:rPr>
              <w:t>Hi-C / Micro-C</w:t>
            </w:r>
          </w:p>
        </w:tc>
        <w:tc>
          <w:tcPr>
            <w:tcW w:w="2900" w:type="dxa"/>
            <w:shd w:val="clear" w:color="auto" w:fill="F6F8FA"/>
            <w:tcMar>
              <w:top w:w="60" w:type="dxa"/>
              <w:left w:w="90" w:type="dxa"/>
              <w:bottom w:w="60" w:type="dxa"/>
              <w:right w:w="90" w:type="dxa"/>
            </w:tcMar>
          </w:tcPr>
          <w:p w14:paraId="57E45D4B">
            <w:pPr>
              <w:spacing w:before="40" w:after="40" w:line="240" w:lineRule="auto"/>
              <w:jc w:val="left"/>
            </w:pPr>
            <w:r>
              <w:rPr>
                <w:rFonts w:ascii="Calibri" w:hAnsi="Calibri" w:eastAsia="Calibri" w:cs="Calibri"/>
                <w:color w:val="1C2733"/>
                <w:sz w:val="15"/>
                <w:szCs w:val="15"/>
              </w:rPr>
              <w:t>Contact enrichment between the region and the Gene Y promoter, within a single TAD.</w:t>
            </w:r>
          </w:p>
        </w:tc>
        <w:tc>
          <w:tcPr>
            <w:tcW w:w="2800" w:type="dxa"/>
            <w:shd w:val="clear" w:color="auto" w:fill="F6F8FA"/>
            <w:tcMar>
              <w:top w:w="60" w:type="dxa"/>
              <w:left w:w="90" w:type="dxa"/>
              <w:bottom w:w="60" w:type="dxa"/>
              <w:right w:w="90" w:type="dxa"/>
            </w:tcMar>
          </w:tcPr>
          <w:p w14:paraId="36062C00">
            <w:pPr>
              <w:spacing w:before="40" w:after="40" w:line="240" w:lineRule="auto"/>
              <w:jc w:val="left"/>
            </w:pPr>
            <w:r>
              <w:rPr>
                <w:rFonts w:ascii="Calibri" w:hAnsi="Calibri" w:eastAsia="Calibri" w:cs="Calibri"/>
                <w:color w:val="1C2733"/>
                <w:sz w:val="15"/>
                <w:szCs w:val="15"/>
              </w:rPr>
              <w:t>The region is spatially positioned to act on the Gene Y promoter rather than on a more distant gene.</w:t>
            </w:r>
          </w:p>
        </w:tc>
        <w:tc>
          <w:tcPr>
            <w:tcW w:w="3324" w:type="dxa"/>
            <w:shd w:val="clear" w:color="auto" w:fill="F6F8FA"/>
            <w:tcMar>
              <w:top w:w="60" w:type="dxa"/>
              <w:left w:w="90" w:type="dxa"/>
              <w:bottom w:w="60" w:type="dxa"/>
              <w:right w:w="90" w:type="dxa"/>
            </w:tcMar>
          </w:tcPr>
          <w:p w14:paraId="52FA4DA2">
            <w:pPr>
              <w:spacing w:before="40" w:after="40" w:line="240" w:lineRule="auto"/>
              <w:jc w:val="left"/>
            </w:pPr>
            <w:r>
              <w:rPr>
                <w:rFonts w:ascii="Calibri" w:hAnsi="Calibri" w:eastAsia="Calibri" w:cs="Calibri"/>
                <w:color w:val="1C2733"/>
                <w:sz w:val="15"/>
                <w:szCs w:val="15"/>
              </w:rPr>
              <w:t>Whether the contact is condition-specific or pre-existing architecture; whether it is functionally required, which acute-depletion experiments suggest is often not the case.</w:t>
            </w:r>
          </w:p>
        </w:tc>
      </w:tr>
      <w:tr w14:paraId="4DFB5C63">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200" w:type="dxa"/>
            <w:tcMar>
              <w:top w:w="60" w:type="dxa"/>
              <w:left w:w="90" w:type="dxa"/>
              <w:bottom w:w="60" w:type="dxa"/>
              <w:right w:w="90" w:type="dxa"/>
            </w:tcMar>
          </w:tcPr>
          <w:p w14:paraId="3B47CA8F">
            <w:pPr>
              <w:spacing w:before="40" w:after="40" w:line="240" w:lineRule="auto"/>
              <w:jc w:val="left"/>
            </w:pPr>
            <w:r>
              <w:rPr>
                <w:rFonts w:ascii="Calibri" w:hAnsi="Calibri" w:eastAsia="Calibri" w:cs="Calibri"/>
                <w:color w:val="1C2733"/>
                <w:sz w:val="15"/>
                <w:szCs w:val="15"/>
              </w:rPr>
              <w:t>RNA-seq</w:t>
            </w:r>
          </w:p>
        </w:tc>
        <w:tc>
          <w:tcPr>
            <w:tcW w:w="2900" w:type="dxa"/>
            <w:tcMar>
              <w:top w:w="60" w:type="dxa"/>
              <w:left w:w="90" w:type="dxa"/>
              <w:bottom w:w="60" w:type="dxa"/>
              <w:right w:w="90" w:type="dxa"/>
            </w:tcMar>
          </w:tcPr>
          <w:p w14:paraId="4E90B20D">
            <w:pPr>
              <w:spacing w:before="40" w:after="40" w:line="240" w:lineRule="auto"/>
              <w:jc w:val="left"/>
            </w:pPr>
            <w:r>
              <w:rPr>
                <w:rFonts w:ascii="Calibri" w:hAnsi="Calibri" w:eastAsia="Calibri" w:cs="Calibri"/>
                <w:color w:val="1C2733"/>
                <w:sz w:val="15"/>
                <w:szCs w:val="15"/>
              </w:rPr>
              <w:t>Gene Y is upregulated; other genes within the same TAD are unchanged.</w:t>
            </w:r>
          </w:p>
        </w:tc>
        <w:tc>
          <w:tcPr>
            <w:tcW w:w="2800" w:type="dxa"/>
            <w:tcMar>
              <w:top w:w="60" w:type="dxa"/>
              <w:left w:w="90" w:type="dxa"/>
              <w:bottom w:w="60" w:type="dxa"/>
              <w:right w:w="90" w:type="dxa"/>
            </w:tcMar>
          </w:tcPr>
          <w:p w14:paraId="65A2263F">
            <w:pPr>
              <w:spacing w:before="40" w:after="40" w:line="240" w:lineRule="auto"/>
              <w:jc w:val="left"/>
            </w:pPr>
            <w:r>
              <w:rPr>
                <w:rFonts w:ascii="Calibri" w:hAnsi="Calibri" w:eastAsia="Calibri" w:cs="Calibri"/>
                <w:color w:val="1C2733"/>
                <w:sz w:val="15"/>
                <w:szCs w:val="15"/>
              </w:rPr>
              <w:t>The transcriptional output is specific to Gene Y, which is what an element-specific model predicts.</w:t>
            </w:r>
          </w:p>
        </w:tc>
        <w:tc>
          <w:tcPr>
            <w:tcW w:w="3324" w:type="dxa"/>
            <w:tcMar>
              <w:top w:w="60" w:type="dxa"/>
              <w:left w:w="90" w:type="dxa"/>
              <w:bottom w:w="60" w:type="dxa"/>
              <w:right w:w="90" w:type="dxa"/>
            </w:tcMar>
          </w:tcPr>
          <w:p w14:paraId="627B7759">
            <w:pPr>
              <w:spacing w:before="40" w:after="40" w:line="240" w:lineRule="auto"/>
              <w:jc w:val="left"/>
            </w:pPr>
            <w:r>
              <w:rPr>
                <w:rFonts w:ascii="Calibri" w:hAnsi="Calibri" w:eastAsia="Calibri" w:cs="Calibri"/>
                <w:color w:val="1C2733"/>
                <w:sz w:val="15"/>
                <w:szCs w:val="15"/>
              </w:rPr>
              <w:t>Direction of causality, and whether an element outside the assayed window is the actual driver. Nascent transcription (PRO-seq/TT-seq) would separate a transcription-rate change from an mRNA-stability change.</w:t>
            </w:r>
          </w:p>
        </w:tc>
      </w:tr>
    </w:tbl>
    <w:p w14:paraId="2A59721C">
      <w:pPr>
        <w:spacing w:before="60" w:after="100" w:line="276" w:lineRule="auto"/>
        <w:jc w:val="left"/>
      </w:pPr>
      <w:r>
        <w:rPr>
          <w:rFonts w:ascii="Calibri" w:hAnsi="Calibri" w:eastAsia="Calibri" w:cs="Calibri"/>
          <w:b/>
          <w:bCs/>
          <w:color w:val="1C2733"/>
          <w:sz w:val="21"/>
          <w:szCs w:val="21"/>
        </w:rPr>
        <w:t xml:space="preserve">Preliminary integrated model (before AI): </w:t>
      </w:r>
      <w:r>
        <w:rPr>
          <w:rFonts w:ascii="Calibri" w:hAnsi="Calibri" w:eastAsia="Calibri" w:cs="Calibri"/>
          <w:color w:val="1C2733"/>
          <w:sz w:val="21"/>
          <w:szCs w:val="21"/>
        </w:rPr>
        <w:t>in the disease condition, the upstream region is an accessible, hypomethylated, H3K27ac-marked element that contacts the Gene Y promoter within its TAD and drives the increase in Gene Y mRNA. Every layer is consistent with this. My reservation, written down before prompting, was that "consistent with" is doing all the work — the five layers are not five independent tests, because accessibility, hypomethylation and acetylation are three readouts of the same underlying event, TF binding. The model therefore rests on perhaps two independent observations, not five.</w:t>
      </w:r>
    </w:p>
    <w:p w14:paraId="0949E83D">
      <w:pPr>
        <w:pStyle w:val="3"/>
        <w:spacing w:before="260" w:after="100"/>
      </w:pPr>
      <w:r>
        <w:rPr>
          <w:rFonts w:ascii="Calibri" w:hAnsi="Calibri" w:eastAsia="Calibri" w:cs="Calibri"/>
          <w:b/>
          <w:bCs/>
          <w:color w:val="1C2733"/>
          <w:sz w:val="24"/>
          <w:szCs w:val="24"/>
        </w:rPr>
        <w:t>2.  AI-assisted workflow</w:t>
      </w:r>
    </w:p>
    <w:p w14:paraId="1FDECDE6">
      <w:pPr>
        <w:spacing w:before="60" w:after="100" w:line="276" w:lineRule="auto"/>
        <w:jc w:val="left"/>
      </w:pPr>
      <w:r>
        <w:rPr>
          <w:rFonts w:ascii="Calibri" w:hAnsi="Calibri" w:eastAsia="Calibri" w:cs="Calibri"/>
          <w:color w:val="1C2733"/>
          <w:sz w:val="21"/>
          <w:szCs w:val="21"/>
        </w:rPr>
        <w:t>I asked the model to perform the separation task explicitly, and to name what is missing — the part that is easiest to skip and most costly to skip:</w:t>
      </w:r>
    </w:p>
    <w:p w14:paraId="10C08A63">
      <w:pPr>
        <w:shd w:val="clear" w:fill="F4F5F7"/>
        <w:spacing w:before="100" w:after="0" w:line="230" w:lineRule="auto"/>
        <w:ind w:left="140" w:right="140"/>
      </w:pPr>
      <w:r>
        <w:rPr>
          <w:rFonts w:ascii="Consolas" w:hAnsi="Consolas" w:eastAsia="Consolas" w:cs="Consolas"/>
          <w:color w:val="243040"/>
          <w:sz w:val="16"/>
          <w:szCs w:val="16"/>
        </w:rPr>
        <w:t>For the locus described below, build a three-column table. Column 1:</w:t>
      </w:r>
    </w:p>
    <w:p w14:paraId="7B325448">
      <w:pPr>
        <w:shd w:val="clear" w:fill="F4F5F7"/>
        <w:spacing w:before="0" w:after="0" w:line="230" w:lineRule="auto"/>
        <w:ind w:left="140" w:right="140"/>
      </w:pPr>
      <w:r>
        <w:rPr>
          <w:rFonts w:ascii="Consolas" w:hAnsi="Consolas" w:eastAsia="Consolas" w:cs="Consolas"/>
          <w:color w:val="243040"/>
          <w:sz w:val="16"/>
          <w:szCs w:val="16"/>
        </w:rPr>
        <w:t>DIRECT OBSERVATIONS only -- what the instrument measured, with no</w:t>
      </w:r>
    </w:p>
    <w:p w14:paraId="31BBCFF1">
      <w:pPr>
        <w:shd w:val="clear" w:fill="F4F5F7"/>
        <w:spacing w:before="0" w:after="0" w:line="230" w:lineRule="auto"/>
        <w:ind w:left="140" w:right="140"/>
      </w:pPr>
      <w:r>
        <w:rPr>
          <w:rFonts w:ascii="Consolas" w:hAnsi="Consolas" w:eastAsia="Consolas" w:cs="Consolas"/>
          <w:color w:val="243040"/>
          <w:sz w:val="16"/>
          <w:szCs w:val="16"/>
        </w:rPr>
        <w:t>biological language. Column 2: BIOLOGICAL INTERPRETATIONS -- what each</w:t>
      </w:r>
    </w:p>
    <w:p w14:paraId="31B83728">
      <w:pPr>
        <w:shd w:val="clear" w:fill="F4F5F7"/>
        <w:spacing w:before="0" w:after="0" w:line="230" w:lineRule="auto"/>
        <w:ind w:left="140" w:right="140"/>
      </w:pPr>
      <w:r>
        <w:rPr>
          <w:rFonts w:ascii="Consolas" w:hAnsi="Consolas" w:eastAsia="Consolas" w:cs="Consolas"/>
          <w:color w:val="243040"/>
          <w:sz w:val="16"/>
          <w:szCs w:val="16"/>
        </w:rPr>
        <w:t>observation is usually taken to mean, and how strong that inference is.</w:t>
      </w:r>
    </w:p>
    <w:p w14:paraId="7F873CCE">
      <w:pPr>
        <w:shd w:val="clear" w:fill="F4F5F7"/>
        <w:spacing w:before="0" w:after="0" w:line="230" w:lineRule="auto"/>
        <w:ind w:left="140" w:right="140"/>
      </w:pPr>
      <w:r>
        <w:rPr>
          <w:rFonts w:ascii="Consolas" w:hAnsi="Consolas" w:eastAsia="Consolas" w:cs="Consolas"/>
          <w:color w:val="243040"/>
          <w:sz w:val="16"/>
          <w:szCs w:val="16"/>
        </w:rPr>
        <w:t>Column 3: MISSING EVIDENCE -- what has not been measured that the</w:t>
      </w:r>
    </w:p>
    <w:p w14:paraId="1BBDF8BA">
      <w:pPr>
        <w:shd w:val="clear" w:fill="F4F5F7"/>
        <w:spacing w:before="0" w:after="0" w:line="230" w:lineRule="auto"/>
        <w:ind w:left="140" w:right="140"/>
      </w:pPr>
      <w:r>
        <w:rPr>
          <w:rFonts w:ascii="Consolas" w:hAnsi="Consolas" w:eastAsia="Consolas" w:cs="Consolas"/>
          <w:color w:val="243040"/>
          <w:sz w:val="16"/>
          <w:szCs w:val="16"/>
        </w:rPr>
        <w:t>interpretation silently assumes.</w:t>
      </w:r>
    </w:p>
    <w:p w14:paraId="55042CA0">
      <w:pPr>
        <w:shd w:val="clear" w:fill="F4F5F7"/>
        <w:spacing w:before="0" w:after="0" w:line="230" w:lineRule="auto"/>
        <w:ind w:left="140" w:right="140"/>
      </w:pPr>
      <w:r>
        <w:rPr>
          <w:rFonts w:ascii="Consolas" w:hAnsi="Consolas" w:eastAsia="Consolas" w:cs="Consolas"/>
          <w:color w:val="243040"/>
          <w:sz w:val="16"/>
          <w:szCs w:val="16"/>
        </w:rPr>
        <w:t xml:space="preserve"> </w:t>
      </w:r>
    </w:p>
    <w:p w14:paraId="3E3E9040">
      <w:pPr>
        <w:shd w:val="clear" w:fill="F4F5F7"/>
        <w:spacing w:before="0" w:after="0" w:line="230" w:lineRule="auto"/>
        <w:ind w:left="140" w:right="140"/>
      </w:pPr>
      <w:r>
        <w:rPr>
          <w:rFonts w:ascii="Consolas" w:hAnsi="Consolas" w:eastAsia="Consolas" w:cs="Consolas"/>
          <w:color w:val="243040"/>
          <w:sz w:val="16"/>
          <w:szCs w:val="16"/>
        </w:rPr>
        <w:t>LOCUS: upstream region of Gene Y. ATAC peak up in disease; H3K27ac domain</w:t>
      </w:r>
    </w:p>
    <w:p w14:paraId="3E3DC6E8">
      <w:pPr>
        <w:shd w:val="clear" w:fill="F4F5F7"/>
        <w:spacing w:before="0" w:after="0" w:line="230" w:lineRule="auto"/>
        <w:ind w:left="140" w:right="140"/>
      </w:pPr>
      <w:r>
        <w:rPr>
          <w:rFonts w:ascii="Consolas" w:hAnsi="Consolas" w:eastAsia="Consolas" w:cs="Consolas"/>
          <w:color w:val="243040"/>
          <w:sz w:val="16"/>
          <w:szCs w:val="16"/>
        </w:rPr>
        <w:t>flanking, low H3K4me3; CpG hypomethylation; Hi-C contact with the Gene Y</w:t>
      </w:r>
    </w:p>
    <w:p w14:paraId="4B8D9332">
      <w:pPr>
        <w:shd w:val="clear" w:fill="F4F5F7"/>
        <w:spacing w:before="0" w:after="0" w:line="230" w:lineRule="auto"/>
        <w:ind w:left="140" w:right="140"/>
      </w:pPr>
      <w:r>
        <w:rPr>
          <w:rFonts w:ascii="Consolas" w:hAnsi="Consolas" w:eastAsia="Consolas" w:cs="Consolas"/>
          <w:color w:val="243040"/>
          <w:sz w:val="16"/>
          <w:szCs w:val="16"/>
        </w:rPr>
        <w:t>promoter inside one TAD; Gene Y mRNA up, neighbours unchanged.</w:t>
      </w:r>
    </w:p>
    <w:p w14:paraId="41B1FFA6">
      <w:pPr>
        <w:shd w:val="clear" w:fill="F4F5F7"/>
        <w:spacing w:before="0" w:after="0" w:line="230" w:lineRule="auto"/>
        <w:ind w:left="140" w:right="140"/>
      </w:pPr>
      <w:r>
        <w:rPr>
          <w:rFonts w:ascii="Consolas" w:hAnsi="Consolas" w:eastAsia="Consolas" w:cs="Consolas"/>
          <w:color w:val="243040"/>
          <w:sz w:val="16"/>
          <w:szCs w:val="16"/>
        </w:rPr>
        <w:t xml:space="preserve"> </w:t>
      </w:r>
    </w:p>
    <w:p w14:paraId="71ABFF37">
      <w:pPr>
        <w:shd w:val="clear" w:fill="F4F5F7"/>
        <w:spacing w:before="0" w:after="0" w:line="230" w:lineRule="auto"/>
        <w:ind w:left="140" w:right="140"/>
      </w:pPr>
      <w:r>
        <w:rPr>
          <w:rFonts w:ascii="Consolas" w:hAnsi="Consolas" w:eastAsia="Consolas" w:cs="Consolas"/>
          <w:color w:val="243040"/>
          <w:sz w:val="16"/>
          <w:szCs w:val="16"/>
        </w:rPr>
        <w:t>Then: (1) state how many INDEPENDENT pieces of evidence this really is,</w:t>
      </w:r>
    </w:p>
    <w:p w14:paraId="07B424BE">
      <w:pPr>
        <w:shd w:val="clear" w:fill="F4F5F7"/>
        <w:spacing w:before="0" w:after="0" w:line="230" w:lineRule="auto"/>
        <w:ind w:left="140" w:right="140"/>
      </w:pPr>
      <w:r>
        <w:rPr>
          <w:rFonts w:ascii="Consolas" w:hAnsi="Consolas" w:eastAsia="Consolas" w:cs="Consolas"/>
          <w:color w:val="243040"/>
          <w:sz w:val="16"/>
          <w:szCs w:val="16"/>
        </w:rPr>
        <w:t>given that several readouts share one underlying cause; (2) give the single</w:t>
      </w:r>
    </w:p>
    <w:p w14:paraId="3E0DCBF5">
      <w:pPr>
        <w:shd w:val="clear" w:fill="F4F5F7"/>
        <w:spacing w:before="0" w:after="0" w:line="230" w:lineRule="auto"/>
        <w:ind w:left="140" w:right="140"/>
      </w:pPr>
      <w:r>
        <w:rPr>
          <w:rFonts w:ascii="Consolas" w:hAnsi="Consolas" w:eastAsia="Consolas" w:cs="Consolas"/>
          <w:color w:val="243040"/>
          <w:sz w:val="16"/>
          <w:szCs w:val="16"/>
        </w:rPr>
        <w:t>best alternative model that explains ALL of the observations without the</w:t>
      </w:r>
    </w:p>
    <w:p w14:paraId="71E6200F">
      <w:pPr>
        <w:shd w:val="clear" w:fill="F4F5F7"/>
        <w:spacing w:before="0" w:after="0" w:line="230" w:lineRule="auto"/>
        <w:ind w:left="140" w:right="140"/>
      </w:pPr>
      <w:r>
        <w:rPr>
          <w:rFonts w:ascii="Consolas" w:hAnsi="Consolas" w:eastAsia="Consolas" w:cs="Consolas"/>
          <w:color w:val="243040"/>
          <w:sz w:val="16"/>
          <w:szCs w:val="16"/>
        </w:rPr>
        <w:t>element regulating Gene Y; (3) design the experiment that distinguishes the</w:t>
      </w:r>
    </w:p>
    <w:p w14:paraId="7383685C">
      <w:pPr>
        <w:shd w:val="clear" w:fill="F4F5F7"/>
        <w:spacing w:before="0" w:after="120" w:line="230" w:lineRule="auto"/>
        <w:ind w:left="140" w:right="140"/>
      </w:pPr>
      <w:r>
        <w:rPr>
          <w:rFonts w:ascii="Consolas" w:hAnsi="Consolas" w:eastAsia="Consolas" w:cs="Consolas"/>
          <w:color w:val="243040"/>
          <w:sz w:val="16"/>
          <w:szCs w:val="16"/>
        </w:rPr>
        <w:t>two, and state the result that would falsify MY model, not just support it.</w:t>
      </w:r>
    </w:p>
    <w:p w14:paraId="72B04A8C">
      <w:pPr>
        <w:spacing w:before="60" w:after="100" w:line="276" w:lineRule="auto"/>
        <w:jc w:val="left"/>
      </w:pPr>
      <w:r>
        <w:rPr>
          <w:rFonts w:ascii="Calibri" w:hAnsi="Calibri" w:eastAsia="Calibri" w:cs="Calibri"/>
          <w:color w:val="1C2733"/>
          <w:sz w:val="21"/>
          <w:szCs w:val="21"/>
        </w:rPr>
        <w:t>The model produced a usable separation, but I corrected it in two places, recorded below. Its most useful contribution was a blunt statement of the independence problem I had only half-articulated: accessibility, hypomethylation and H3K27ac are three measurements of one event, so the evidence is roughly two independent observations (a chromatin change and a transcriptional change) plus a structural prior.</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3200"/>
        <w:gridCol w:w="1400"/>
        <w:gridCol w:w="5624"/>
      </w:tblGrid>
      <w:tr w14:paraId="07C9840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3200" w:type="dxa"/>
            <w:shd w:val="clear" w:color="auto" w:fill="DCE7F1"/>
            <w:tcMar>
              <w:top w:w="60" w:type="dxa"/>
              <w:left w:w="90" w:type="dxa"/>
              <w:bottom w:w="60" w:type="dxa"/>
              <w:right w:w="90" w:type="dxa"/>
            </w:tcMar>
          </w:tcPr>
          <w:p w14:paraId="68190DE7">
            <w:pPr>
              <w:spacing w:before="40" w:after="40" w:line="240" w:lineRule="auto"/>
              <w:jc w:val="left"/>
            </w:pPr>
            <w:r>
              <w:rPr>
                <w:rFonts w:ascii="Calibri" w:hAnsi="Calibri" w:eastAsia="Calibri" w:cs="Calibri"/>
                <w:b/>
                <w:bCs/>
                <w:color w:val="1C2733"/>
                <w:sz w:val="15"/>
                <w:szCs w:val="15"/>
              </w:rPr>
              <w:t>What the AI classified</w:t>
            </w:r>
          </w:p>
        </w:tc>
        <w:tc>
          <w:tcPr>
            <w:tcW w:w="1400" w:type="dxa"/>
            <w:shd w:val="clear" w:color="auto" w:fill="DCE7F1"/>
            <w:tcMar>
              <w:top w:w="60" w:type="dxa"/>
              <w:left w:w="90" w:type="dxa"/>
              <w:bottom w:w="60" w:type="dxa"/>
              <w:right w:w="90" w:type="dxa"/>
            </w:tcMar>
          </w:tcPr>
          <w:p w14:paraId="51A15333">
            <w:pPr>
              <w:spacing w:before="40" w:after="40" w:line="240" w:lineRule="auto"/>
              <w:jc w:val="left"/>
            </w:pPr>
            <w:r>
              <w:rPr>
                <w:rFonts w:ascii="Calibri" w:hAnsi="Calibri" w:eastAsia="Calibri" w:cs="Calibri"/>
                <w:b/>
                <w:bCs/>
                <w:color w:val="1C2733"/>
                <w:sz w:val="15"/>
                <w:szCs w:val="15"/>
              </w:rPr>
              <w:t>Do I agree?</w:t>
            </w:r>
          </w:p>
        </w:tc>
        <w:tc>
          <w:tcPr>
            <w:tcW w:w="5624" w:type="dxa"/>
            <w:shd w:val="clear" w:color="auto" w:fill="DCE7F1"/>
            <w:tcMar>
              <w:top w:w="60" w:type="dxa"/>
              <w:left w:w="90" w:type="dxa"/>
              <w:bottom w:w="60" w:type="dxa"/>
              <w:right w:w="90" w:type="dxa"/>
            </w:tcMar>
          </w:tcPr>
          <w:p w14:paraId="5FFCB06B">
            <w:pPr>
              <w:spacing w:before="40" w:after="40" w:line="240" w:lineRule="auto"/>
              <w:jc w:val="left"/>
            </w:pPr>
            <w:r>
              <w:rPr>
                <w:rFonts w:ascii="Calibri" w:hAnsi="Calibri" w:eastAsia="Calibri" w:cs="Calibri"/>
                <w:b/>
                <w:bCs/>
                <w:color w:val="1C2733"/>
                <w:sz w:val="15"/>
                <w:szCs w:val="15"/>
              </w:rPr>
              <w:t>Correction</w:t>
            </w:r>
          </w:p>
        </w:tc>
      </w:tr>
      <w:tr w14:paraId="3ECE77A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200" w:type="dxa"/>
            <w:tcMar>
              <w:top w:w="60" w:type="dxa"/>
              <w:left w:w="90" w:type="dxa"/>
              <w:bottom w:w="60" w:type="dxa"/>
              <w:right w:w="90" w:type="dxa"/>
            </w:tcMar>
          </w:tcPr>
          <w:p w14:paraId="1C033350">
            <w:pPr>
              <w:spacing w:before="40" w:after="40" w:line="240" w:lineRule="auto"/>
              <w:jc w:val="left"/>
            </w:pPr>
            <w:r>
              <w:rPr>
                <w:rFonts w:ascii="Calibri" w:hAnsi="Calibri" w:eastAsia="Calibri" w:cs="Calibri"/>
                <w:color w:val="1C2733"/>
                <w:sz w:val="15"/>
                <w:szCs w:val="15"/>
              </w:rPr>
              <w:t>"H3K27ac domain ⇒ active enhancer" as a biological interpretation with strong support</w:t>
            </w:r>
          </w:p>
        </w:tc>
        <w:tc>
          <w:tcPr>
            <w:tcW w:w="1400" w:type="dxa"/>
            <w:tcMar>
              <w:top w:w="60" w:type="dxa"/>
              <w:left w:w="90" w:type="dxa"/>
              <w:bottom w:w="60" w:type="dxa"/>
              <w:right w:w="90" w:type="dxa"/>
            </w:tcMar>
          </w:tcPr>
          <w:p w14:paraId="7887077E">
            <w:pPr>
              <w:spacing w:before="40" w:after="40" w:line="240" w:lineRule="auto"/>
              <w:jc w:val="left"/>
            </w:pPr>
            <w:r>
              <w:rPr>
                <w:rFonts w:ascii="Calibri" w:hAnsi="Calibri" w:eastAsia="Calibri" w:cs="Calibri"/>
                <w:color w:val="1C2733"/>
                <w:sz w:val="15"/>
                <w:szCs w:val="15"/>
              </w:rPr>
              <w:t>Partly</w:t>
            </w:r>
          </w:p>
        </w:tc>
        <w:tc>
          <w:tcPr>
            <w:tcW w:w="5624" w:type="dxa"/>
            <w:tcMar>
              <w:top w:w="60" w:type="dxa"/>
              <w:left w:w="90" w:type="dxa"/>
              <w:bottom w:w="60" w:type="dxa"/>
              <w:right w:w="90" w:type="dxa"/>
            </w:tcMar>
          </w:tcPr>
          <w:p w14:paraId="16356AD1">
            <w:pPr>
              <w:spacing w:before="40" w:after="40" w:line="240" w:lineRule="auto"/>
              <w:jc w:val="left"/>
            </w:pPr>
            <w:r>
              <w:rPr>
                <w:rFonts w:ascii="Calibri" w:hAnsi="Calibri" w:eastAsia="Calibri" w:cs="Calibri"/>
                <w:color w:val="1C2733"/>
                <w:sz w:val="15"/>
                <w:szCs w:val="15"/>
              </w:rPr>
              <w:t>Downgraded. Verified against Zhang T. et al. 2020 (Genome Biology 21:45): H3.3-K27R mESCs lose nearly all enhancer H3K27ac yet keep an essentially normal transcriptome. Raisner 2018 argues the opposite from p300/CBP inhibition, so the literature is genuinely split. I record it as evidence of state with contested functional weight, not as evidence of activity.</w:t>
            </w:r>
          </w:p>
        </w:tc>
      </w:tr>
      <w:tr w14:paraId="27EC726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200" w:type="dxa"/>
            <w:shd w:val="clear" w:color="auto" w:fill="F6F8FA"/>
            <w:tcMar>
              <w:top w:w="60" w:type="dxa"/>
              <w:left w:w="90" w:type="dxa"/>
              <w:bottom w:w="60" w:type="dxa"/>
              <w:right w:w="90" w:type="dxa"/>
            </w:tcMar>
          </w:tcPr>
          <w:p w14:paraId="764DEAA9">
            <w:pPr>
              <w:spacing w:before="40" w:after="40" w:line="240" w:lineRule="auto"/>
              <w:jc w:val="left"/>
            </w:pPr>
            <w:r>
              <w:rPr>
                <w:rFonts w:ascii="Calibri" w:hAnsi="Calibri" w:eastAsia="Calibri" w:cs="Calibri"/>
                <w:color w:val="1C2733"/>
                <w:sz w:val="15"/>
                <w:szCs w:val="15"/>
              </w:rPr>
              <w:t>"Hypomethylation ⇒ the element has been de-repressed" as an interpretation</w:t>
            </w:r>
          </w:p>
        </w:tc>
        <w:tc>
          <w:tcPr>
            <w:tcW w:w="1400" w:type="dxa"/>
            <w:shd w:val="clear" w:color="auto" w:fill="F6F8FA"/>
            <w:tcMar>
              <w:top w:w="60" w:type="dxa"/>
              <w:left w:w="90" w:type="dxa"/>
              <w:bottom w:w="60" w:type="dxa"/>
              <w:right w:w="90" w:type="dxa"/>
            </w:tcMar>
          </w:tcPr>
          <w:p w14:paraId="2FBFD0C3">
            <w:pPr>
              <w:spacing w:before="40" w:after="40" w:line="240" w:lineRule="auto"/>
              <w:jc w:val="left"/>
            </w:pPr>
            <w:r>
              <w:rPr>
                <w:rFonts w:ascii="Calibri" w:hAnsi="Calibri" w:eastAsia="Calibri" w:cs="Calibri"/>
                <w:color w:val="1C2733"/>
                <w:sz w:val="15"/>
                <w:szCs w:val="15"/>
              </w:rPr>
              <w:t>No — direction reversed</w:t>
            </w:r>
          </w:p>
        </w:tc>
        <w:tc>
          <w:tcPr>
            <w:tcW w:w="5624" w:type="dxa"/>
            <w:shd w:val="clear" w:color="auto" w:fill="F6F8FA"/>
            <w:tcMar>
              <w:top w:w="60" w:type="dxa"/>
              <w:left w:w="90" w:type="dxa"/>
              <w:bottom w:w="60" w:type="dxa"/>
              <w:right w:w="90" w:type="dxa"/>
            </w:tcMar>
          </w:tcPr>
          <w:p w14:paraId="68893501">
            <w:pPr>
              <w:spacing w:before="40" w:after="40" w:line="240" w:lineRule="auto"/>
              <w:jc w:val="left"/>
            </w:pPr>
            <w:r>
              <w:rPr>
                <w:rFonts w:ascii="Calibri" w:hAnsi="Calibri" w:eastAsia="Calibri" w:cs="Calibri"/>
                <w:color w:val="1C2733"/>
                <w:sz w:val="15"/>
                <w:szCs w:val="15"/>
              </w:rPr>
              <w:t>Corrected. The more strongly supported direction is that TF binding drives local demethylation, making hypomethylation a consequence of occupancy rather than its cause. Listed as a consequence-or-cause ambiguity, not as a de-repression event.</w:t>
            </w:r>
          </w:p>
        </w:tc>
      </w:tr>
      <w:tr w14:paraId="3C41DDA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200" w:type="dxa"/>
            <w:tcMar>
              <w:top w:w="60" w:type="dxa"/>
              <w:left w:w="90" w:type="dxa"/>
              <w:bottom w:w="60" w:type="dxa"/>
              <w:right w:w="90" w:type="dxa"/>
            </w:tcMar>
          </w:tcPr>
          <w:p w14:paraId="66252F28">
            <w:pPr>
              <w:spacing w:before="40" w:after="40" w:line="240" w:lineRule="auto"/>
              <w:jc w:val="left"/>
            </w:pPr>
            <w:r>
              <w:rPr>
                <w:rFonts w:ascii="Calibri" w:hAnsi="Calibri" w:eastAsia="Calibri" w:cs="Calibri"/>
                <w:color w:val="1C2733"/>
                <w:sz w:val="15"/>
                <w:szCs w:val="15"/>
              </w:rPr>
              <w:t>"Contact within one TAD ⇒ the element targets Gene Y" as a direct observation</w:t>
            </w:r>
          </w:p>
        </w:tc>
        <w:tc>
          <w:tcPr>
            <w:tcW w:w="1400" w:type="dxa"/>
            <w:tcMar>
              <w:top w:w="60" w:type="dxa"/>
              <w:left w:w="90" w:type="dxa"/>
              <w:bottom w:w="60" w:type="dxa"/>
              <w:right w:w="90" w:type="dxa"/>
            </w:tcMar>
          </w:tcPr>
          <w:p w14:paraId="5AF6F57F">
            <w:pPr>
              <w:spacing w:before="40" w:after="40" w:line="240" w:lineRule="auto"/>
              <w:jc w:val="left"/>
            </w:pPr>
            <w:r>
              <w:rPr>
                <w:rFonts w:ascii="Calibri" w:hAnsi="Calibri" w:eastAsia="Calibri" w:cs="Calibri"/>
                <w:color w:val="1C2733"/>
                <w:sz w:val="15"/>
                <w:szCs w:val="15"/>
              </w:rPr>
              <w:t>No — category error</w:t>
            </w:r>
          </w:p>
        </w:tc>
        <w:tc>
          <w:tcPr>
            <w:tcW w:w="5624" w:type="dxa"/>
            <w:tcMar>
              <w:top w:w="60" w:type="dxa"/>
              <w:left w:w="90" w:type="dxa"/>
              <w:bottom w:w="60" w:type="dxa"/>
              <w:right w:w="90" w:type="dxa"/>
            </w:tcMar>
          </w:tcPr>
          <w:p w14:paraId="3460651C">
            <w:pPr>
              <w:spacing w:before="40" w:after="40" w:line="240" w:lineRule="auto"/>
              <w:jc w:val="left"/>
            </w:pPr>
            <w:r>
              <w:rPr>
                <w:rFonts w:ascii="Calibri" w:hAnsi="Calibri" w:eastAsia="Calibri" w:cs="Calibri"/>
                <w:color w:val="1C2733"/>
                <w:sz w:val="15"/>
                <w:szCs w:val="15"/>
              </w:rPr>
              <w:t>Corrected. The direct observation is contact enrichment in a ligation-based assay. Targeting is an interpretation, and one that acute CTCF/cohesin/WAPL/YY1 depletion (Hsieh 2022) shows is not reliably coupled to transcription.</w:t>
            </w:r>
          </w:p>
        </w:tc>
      </w:tr>
      <w:tr w14:paraId="555B60B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200" w:type="dxa"/>
            <w:shd w:val="clear" w:color="auto" w:fill="F6F8FA"/>
            <w:tcMar>
              <w:top w:w="60" w:type="dxa"/>
              <w:left w:w="90" w:type="dxa"/>
              <w:bottom w:w="60" w:type="dxa"/>
              <w:right w:w="90" w:type="dxa"/>
            </w:tcMar>
          </w:tcPr>
          <w:p w14:paraId="0C906A85">
            <w:pPr>
              <w:spacing w:before="40" w:after="40" w:line="240" w:lineRule="auto"/>
              <w:jc w:val="left"/>
            </w:pPr>
            <w:r>
              <w:rPr>
                <w:rFonts w:ascii="Calibri" w:hAnsi="Calibri" w:eastAsia="Calibri" w:cs="Calibri"/>
                <w:color w:val="1C2733"/>
                <w:sz w:val="15"/>
                <w:szCs w:val="15"/>
              </w:rPr>
              <w:t>"Neighbouring genes unchanged ⇒ the effect is element-specific"</w:t>
            </w:r>
          </w:p>
        </w:tc>
        <w:tc>
          <w:tcPr>
            <w:tcW w:w="1400" w:type="dxa"/>
            <w:shd w:val="clear" w:color="auto" w:fill="F6F8FA"/>
            <w:tcMar>
              <w:top w:w="60" w:type="dxa"/>
              <w:left w:w="90" w:type="dxa"/>
              <w:bottom w:w="60" w:type="dxa"/>
              <w:right w:w="90" w:type="dxa"/>
            </w:tcMar>
          </w:tcPr>
          <w:p w14:paraId="5020B67A">
            <w:pPr>
              <w:spacing w:before="40" w:after="40" w:line="240" w:lineRule="auto"/>
              <w:jc w:val="left"/>
            </w:pPr>
            <w:r>
              <w:rPr>
                <w:rFonts w:ascii="Calibri" w:hAnsi="Calibri" w:eastAsia="Calibri" w:cs="Calibri"/>
                <w:color w:val="1C2733"/>
                <w:sz w:val="15"/>
                <w:szCs w:val="15"/>
              </w:rPr>
              <w:t>Yes, with a caveat</w:t>
            </w:r>
          </w:p>
        </w:tc>
        <w:tc>
          <w:tcPr>
            <w:tcW w:w="5624" w:type="dxa"/>
            <w:shd w:val="clear" w:color="auto" w:fill="F6F8FA"/>
            <w:tcMar>
              <w:top w:w="60" w:type="dxa"/>
              <w:left w:w="90" w:type="dxa"/>
              <w:bottom w:w="60" w:type="dxa"/>
              <w:right w:w="90" w:type="dxa"/>
            </w:tcMar>
          </w:tcPr>
          <w:p w14:paraId="65195FDE">
            <w:pPr>
              <w:spacing w:before="40" w:after="40" w:line="240" w:lineRule="auto"/>
              <w:jc w:val="left"/>
            </w:pPr>
            <w:r>
              <w:rPr>
                <w:rFonts w:ascii="Calibri" w:hAnsi="Calibri" w:eastAsia="Calibri" w:cs="Calibri"/>
                <w:color w:val="1C2733"/>
                <w:sz w:val="15"/>
                <w:szCs w:val="15"/>
              </w:rPr>
              <w:t>Kept, but the caveat is recorded: this only holds for genes inside the assayed window, and it is also the prediction of the bystander model if the shared upstream factor happens to regulate only Gene Y.</w:t>
            </w:r>
          </w:p>
        </w:tc>
      </w:tr>
    </w:tbl>
    <w:p w14:paraId="1D292FE6">
      <w:pPr>
        <w:pStyle w:val="3"/>
        <w:spacing w:before="260" w:after="100"/>
      </w:pPr>
      <w:r>
        <w:rPr>
          <w:rFonts w:ascii="Calibri" w:hAnsi="Calibri" w:eastAsia="Calibri" w:cs="Calibri"/>
          <w:b/>
          <w:bCs/>
          <w:color w:val="1C2733"/>
          <w:sz w:val="24"/>
          <w:szCs w:val="24"/>
        </w:rPr>
        <w:t>3.  Verification</w:t>
      </w:r>
    </w:p>
    <w:p w14:paraId="4848F124">
      <w:pPr>
        <w:pStyle w:val="17"/>
        <w:numPr>
          <w:ilvl w:val="0"/>
          <w:numId w:val="1"/>
        </w:numPr>
        <w:spacing w:before="40" w:after="40" w:line="264" w:lineRule="auto"/>
      </w:pPr>
      <w:r>
        <w:rPr>
          <w:rFonts w:ascii="Calibri" w:hAnsi="Calibri" w:eastAsia="Calibri" w:cs="Calibri"/>
          <w:b/>
          <w:bCs/>
          <w:color w:val="1C2733"/>
          <w:sz w:val="21"/>
          <w:szCs w:val="21"/>
        </w:rPr>
        <w:t xml:space="preserve">Enhancer chromatin signature: </w:t>
      </w:r>
      <w:r>
        <w:rPr>
          <w:rFonts w:ascii="Calibri" w:hAnsi="Calibri" w:eastAsia="Calibri" w:cs="Calibri"/>
          <w:color w:val="1C2733"/>
          <w:sz w:val="21"/>
          <w:szCs w:val="21"/>
        </w:rPr>
        <w:t>Creyghton et al. 2010 (PNAS 107:21931) and Rada-Iglesias et al. 2011 (Nature 470:279) establish H3K27ac with low H3K4me3 as the active-enhancer signature I relied on — confirming the inference is standard.</w:t>
      </w:r>
    </w:p>
    <w:p w14:paraId="1EABCC42">
      <w:pPr>
        <w:pStyle w:val="17"/>
        <w:numPr>
          <w:ilvl w:val="0"/>
          <w:numId w:val="1"/>
        </w:numPr>
        <w:spacing w:before="40" w:after="40" w:line="264" w:lineRule="auto"/>
      </w:pPr>
      <w:r>
        <w:rPr>
          <w:rFonts w:ascii="Calibri" w:hAnsi="Calibri" w:eastAsia="Calibri" w:cs="Calibri"/>
          <w:b/>
          <w:bCs/>
          <w:color w:val="1C2733"/>
          <w:sz w:val="21"/>
          <w:szCs w:val="21"/>
        </w:rPr>
        <w:t xml:space="preserve">Limit of that signature: </w:t>
      </w:r>
      <w:r>
        <w:rPr>
          <w:rFonts w:ascii="Calibri" w:hAnsi="Calibri" w:eastAsia="Calibri" w:cs="Calibri"/>
          <w:color w:val="1C2733"/>
          <w:sz w:val="21"/>
          <w:szCs w:val="21"/>
        </w:rPr>
        <w:t>Zhang T. et al. 2020 (Genome Biology 21:45) show enhancer function and the transcriptome are largely preserved in H3.3-K27R mESCs lacking enhancer H3K27ac; Raisner et al. 2018 (Cell Reports 24:1722) report the opposite from CBP/p300 bromodomain inhibition. I report both.</w:t>
      </w:r>
    </w:p>
    <w:p w14:paraId="12D58699">
      <w:pPr>
        <w:pStyle w:val="17"/>
        <w:numPr>
          <w:ilvl w:val="0"/>
          <w:numId w:val="1"/>
        </w:numPr>
        <w:spacing w:before="40" w:after="40" w:line="264" w:lineRule="auto"/>
      </w:pPr>
      <w:r>
        <w:rPr>
          <w:rFonts w:ascii="Calibri" w:hAnsi="Calibri" w:eastAsia="Calibri" w:cs="Calibri"/>
          <w:b/>
          <w:bCs/>
          <w:color w:val="1C2733"/>
          <w:sz w:val="21"/>
          <w:szCs w:val="21"/>
        </w:rPr>
        <w:t xml:space="preserve">Methylation ambiguity: </w:t>
      </w:r>
      <w:r>
        <w:rPr>
          <w:rFonts w:ascii="Calibri" w:hAnsi="Calibri" w:eastAsia="Calibri" w:cs="Calibri"/>
          <w:color w:val="1C2733"/>
          <w:sz w:val="21"/>
          <w:szCs w:val="21"/>
        </w:rPr>
        <w:t>Vaisvila et al. 2021 (Genome Research 31:1280) for EM-seq; Huang et al. 2010 (PLoS ONE 5:e8888) and Nestor et al. 2010 for the 5mC/5hmC indistinguishability that applies to bisulfite and EM-seq alike. A 2024 Nature Genetics analysis further argues that much of the CpG-methylation–expression correlation is driven by sequence variants, which is a confounder my model would otherwise ignore.</w:t>
      </w:r>
    </w:p>
    <w:p w14:paraId="67014CD1">
      <w:pPr>
        <w:pStyle w:val="17"/>
        <w:numPr>
          <w:ilvl w:val="0"/>
          <w:numId w:val="1"/>
        </w:numPr>
        <w:spacing w:before="40" w:after="40" w:line="264" w:lineRule="auto"/>
      </w:pPr>
      <w:r>
        <w:rPr>
          <w:rFonts w:ascii="Calibri" w:hAnsi="Calibri" w:eastAsia="Calibri" w:cs="Calibri"/>
          <w:b/>
          <w:bCs/>
          <w:color w:val="1C2733"/>
          <w:sz w:val="21"/>
          <w:szCs w:val="21"/>
        </w:rPr>
        <w:t xml:space="preserve">Contact ≠ regulation: </w:t>
      </w:r>
      <w:r>
        <w:rPr>
          <w:rFonts w:ascii="Calibri" w:hAnsi="Calibri" w:eastAsia="Calibri" w:cs="Calibri"/>
          <w:color w:val="1C2733"/>
          <w:sz w:val="21"/>
          <w:szCs w:val="21"/>
        </w:rPr>
        <w:t>Rao et al. 2017 (Cell 171:305) eliminate loop domains by cohesin degradation with modest transcriptional consequences; Hsieh et al. 2022 (Nature Genetics 54:1919) show enhancer–promoter interactions and transcription are largely maintained after acute loss of CTCF, cohesin, WAPL or YY1; Alexander et al. 2019 (eLife 8:e41769) show enhancer-dependent Sox2 transcription without enhancer proximity.</w:t>
      </w:r>
    </w:p>
    <w:p w14:paraId="17636D17">
      <w:pPr>
        <w:pStyle w:val="17"/>
        <w:numPr>
          <w:ilvl w:val="0"/>
          <w:numId w:val="1"/>
        </w:numPr>
        <w:spacing w:before="40" w:after="40" w:line="264" w:lineRule="auto"/>
      </w:pPr>
      <w:r>
        <w:rPr>
          <w:rFonts w:ascii="Calibri" w:hAnsi="Calibri" w:eastAsia="Calibri" w:cs="Calibri"/>
          <w:b/>
          <w:bCs/>
          <w:color w:val="1C2733"/>
          <w:sz w:val="21"/>
          <w:szCs w:val="21"/>
        </w:rPr>
        <w:t xml:space="preserve">Perturbation design: </w:t>
      </w:r>
      <w:r>
        <w:rPr>
          <w:rFonts w:ascii="Calibri" w:hAnsi="Calibri" w:eastAsia="Calibri" w:cs="Calibri"/>
          <w:color w:val="1C2733"/>
          <w:sz w:val="21"/>
          <w:szCs w:val="21"/>
        </w:rPr>
        <w:t>Fulco et al. 2016 (Science 354:769) and 2019 (Nature Genetics 51:1664) for CRISPRi mapping of enhancer–promoter connections; Gasperini et al. 2019 (Cell 176:377) for scale; Lensch et al. 2022 (eLife 11:e75115) for KRAB spreading across a 5 kb spacer and H3K9me3 extending tens of kilobases — the reason my controls are distance-matched.</w:t>
      </w:r>
    </w:p>
    <w:p w14:paraId="539891E7">
      <w:pPr>
        <w:pStyle w:val="17"/>
        <w:numPr>
          <w:ilvl w:val="0"/>
          <w:numId w:val="1"/>
        </w:numPr>
        <w:spacing w:before="40" w:after="40" w:line="264" w:lineRule="auto"/>
      </w:pPr>
      <w:r>
        <w:rPr>
          <w:rFonts w:ascii="Calibri" w:hAnsi="Calibri" w:eastAsia="Calibri" w:cs="Calibri"/>
          <w:b/>
          <w:bCs/>
          <w:color w:val="1C2733"/>
          <w:sz w:val="21"/>
          <w:szCs w:val="21"/>
        </w:rPr>
        <w:t xml:space="preserve">Assay standards: </w:t>
      </w:r>
      <w:r>
        <w:rPr>
          <w:rFonts w:ascii="Calibri" w:hAnsi="Calibri" w:eastAsia="Calibri" w:cs="Calibri"/>
          <w:color w:val="1C2733"/>
          <w:sz w:val="21"/>
          <w:szCs w:val="21"/>
        </w:rPr>
        <w:t>ENCODE4 ATAC-seq and histone ChIP-seq standards for the depth, control and replicate structure that make each layer quotable rather than anecdotal.</w:t>
      </w:r>
    </w:p>
    <w:p w14:paraId="6E78E971">
      <w:pPr>
        <w:pStyle w:val="3"/>
        <w:spacing w:before="260" w:after="100"/>
      </w:pPr>
      <w:r>
        <w:rPr>
          <w:rFonts w:ascii="Calibri" w:hAnsi="Calibri" w:eastAsia="Calibri" w:cs="Calibri"/>
          <w:b/>
          <w:bCs/>
          <w:color w:val="1C2733"/>
          <w:sz w:val="24"/>
          <w:szCs w:val="24"/>
        </w:rPr>
        <w:t>4.  Final conclusion</w:t>
      </w:r>
    </w:p>
    <w:p w14:paraId="6C09EA67">
      <w:pPr>
        <w:spacing w:before="160" w:after="60"/>
        <w:jc w:val="center"/>
      </w:pPr>
      <w:r>
        <w:drawing>
          <wp:inline distT="0" distB="0" distL="0" distR="0">
            <wp:extent cx="6448425" cy="39719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srcRect/>
                    <a:stretch>
                      <a:fillRect/>
                    </a:stretch>
                  </pic:blipFill>
                  <pic:spPr>
                    <a:xfrm>
                      <a:off x="0" y="0"/>
                      <a:ext cx="6448425" cy="3971925"/>
                    </a:xfrm>
                    <a:prstGeom prst="rect">
                      <a:avLst/>
                    </a:prstGeom>
                  </pic:spPr>
                </pic:pic>
              </a:graphicData>
            </a:graphic>
          </wp:inline>
        </w:drawing>
      </w:r>
    </w:p>
    <w:p w14:paraId="6D053B0A">
      <w:pPr>
        <w:spacing w:before="0" w:after="200"/>
        <w:jc w:val="center"/>
      </w:pPr>
      <w:r>
        <w:rPr>
          <w:rFonts w:ascii="Calibri" w:hAnsi="Calibri" w:eastAsia="Calibri" w:cs="Calibri"/>
          <w:i/>
          <w:iCs/>
          <w:color w:val="5A6672"/>
          <w:sz w:val="17"/>
          <w:szCs w:val="17"/>
        </w:rPr>
        <w:t>Figure 3. Integrated locus chain: accessibility → chromatin state → methylation → 3D contact → expression → perturbation. Each layer carries its direct observation and the claim it cannot support; the dashed rule marks where correlation ends.</w:t>
      </w:r>
    </w:p>
    <w:p w14:paraId="63E0293E">
      <w:pPr>
        <w:pStyle w:val="4"/>
        <w:spacing w:before="200" w:after="80"/>
      </w:pPr>
      <w:r>
        <w:rPr>
          <w:rFonts w:ascii="Calibri" w:hAnsi="Calibri" w:eastAsia="Calibri" w:cs="Calibri"/>
          <w:b/>
          <w:bCs/>
          <w:color w:val="4A7C3F"/>
          <w:sz w:val="21"/>
          <w:szCs w:val="21"/>
        </w:rPr>
        <w:t>Alternative explanation</w:t>
      </w:r>
    </w:p>
    <w:p w14:paraId="1D1B440C">
      <w:pPr>
        <w:spacing w:before="60" w:after="100" w:line="276" w:lineRule="auto"/>
        <w:jc w:val="left"/>
      </w:pPr>
      <w:r>
        <w:rPr>
          <w:rFonts w:ascii="Calibri" w:hAnsi="Calibri" w:eastAsia="Calibri" w:cs="Calibri"/>
          <w:color w:val="1C2733"/>
          <w:sz w:val="21"/>
          <w:szCs w:val="21"/>
        </w:rPr>
        <w:t>The element is a co-regulated bystander. A single transcription factor induced in the disease state binds both the upstream region and the Gene Y promoter independently; the accessibility, hypomethylation and H3K27ac at the element are the footprint of that binding, and the Hi-C contact reflects pre-existing CTCF/TAD architecture that was there before anything changed. Under this model Gene Y is upregulated by the factor acting at its own promoter, and the element contributes nothing. Every observation in the table is equally consistent with it — which is the point. The two models differ in exactly one prediction: silencing the element changes Gene Y under my model and leaves it unchanged under the bystander model.</w:t>
      </w:r>
    </w:p>
    <w:p w14:paraId="2CE47821">
      <w:pPr>
        <w:pStyle w:val="4"/>
        <w:spacing w:before="200" w:after="80"/>
      </w:pPr>
      <w:r>
        <w:rPr>
          <w:rFonts w:ascii="Calibri" w:hAnsi="Calibri" w:eastAsia="Calibri" w:cs="Calibri"/>
          <w:b/>
          <w:bCs/>
          <w:color w:val="4A7C3F"/>
          <w:sz w:val="21"/>
          <w:szCs w:val="21"/>
        </w:rPr>
        <w:t>Functional experiment to distinguish correlation from causality</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2600"/>
        <w:gridCol w:w="7624"/>
      </w:tblGrid>
      <w:tr w14:paraId="63A3B323">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2600" w:type="dxa"/>
            <w:shd w:val="clear" w:color="auto" w:fill="DCE7F1"/>
            <w:tcMar>
              <w:top w:w="60" w:type="dxa"/>
              <w:left w:w="90" w:type="dxa"/>
              <w:bottom w:w="60" w:type="dxa"/>
              <w:right w:w="90" w:type="dxa"/>
            </w:tcMar>
          </w:tcPr>
          <w:p w14:paraId="3B308D5D">
            <w:pPr>
              <w:spacing w:before="40" w:after="40" w:line="240" w:lineRule="auto"/>
              <w:jc w:val="left"/>
            </w:pPr>
            <w:r>
              <w:rPr>
                <w:rFonts w:ascii="Calibri" w:hAnsi="Calibri" w:eastAsia="Calibri" w:cs="Calibri"/>
                <w:b/>
                <w:bCs/>
                <w:color w:val="1C2733"/>
                <w:sz w:val="16"/>
                <w:szCs w:val="16"/>
              </w:rPr>
              <w:t>Design element</w:t>
            </w:r>
          </w:p>
        </w:tc>
        <w:tc>
          <w:tcPr>
            <w:tcW w:w="7624" w:type="dxa"/>
            <w:shd w:val="clear" w:color="auto" w:fill="DCE7F1"/>
            <w:tcMar>
              <w:top w:w="60" w:type="dxa"/>
              <w:left w:w="90" w:type="dxa"/>
              <w:bottom w:w="60" w:type="dxa"/>
              <w:right w:w="90" w:type="dxa"/>
            </w:tcMar>
          </w:tcPr>
          <w:p w14:paraId="5E232C5F">
            <w:pPr>
              <w:spacing w:before="40" w:after="40" w:line="240" w:lineRule="auto"/>
              <w:jc w:val="left"/>
            </w:pPr>
            <w:r>
              <w:rPr>
                <w:rFonts w:ascii="Calibri" w:hAnsi="Calibri" w:eastAsia="Calibri" w:cs="Calibri"/>
                <w:b/>
                <w:bCs/>
                <w:color w:val="1C2733"/>
                <w:sz w:val="16"/>
                <w:szCs w:val="16"/>
              </w:rPr>
              <w:t>Specification</w:t>
            </w:r>
          </w:p>
        </w:tc>
      </w:tr>
      <w:tr w14:paraId="60155A6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6860DDDE">
            <w:pPr>
              <w:spacing w:before="40" w:after="40" w:line="240" w:lineRule="auto"/>
              <w:jc w:val="left"/>
            </w:pPr>
            <w:r>
              <w:rPr>
                <w:rFonts w:ascii="Calibri" w:hAnsi="Calibri" w:eastAsia="Calibri" w:cs="Calibri"/>
                <w:b/>
                <w:bCs/>
                <w:color w:val="1C2733"/>
                <w:sz w:val="16"/>
                <w:szCs w:val="16"/>
              </w:rPr>
              <w:t>Experiment</w:t>
            </w:r>
          </w:p>
        </w:tc>
        <w:tc>
          <w:tcPr>
            <w:tcW w:w="7624" w:type="dxa"/>
            <w:tcMar>
              <w:top w:w="60" w:type="dxa"/>
              <w:left w:w="90" w:type="dxa"/>
              <w:bottom w:w="60" w:type="dxa"/>
              <w:right w:w="90" w:type="dxa"/>
            </w:tcMar>
          </w:tcPr>
          <w:p w14:paraId="66E59614">
            <w:pPr>
              <w:spacing w:before="40" w:after="40" w:line="240" w:lineRule="auto"/>
              <w:jc w:val="left"/>
            </w:pPr>
            <w:r>
              <w:rPr>
                <w:rFonts w:ascii="Calibri" w:hAnsi="Calibri" w:eastAsia="Calibri" w:cs="Calibri"/>
                <w:b w:val="0"/>
                <w:bCs w:val="0"/>
                <w:color w:val="1C2733"/>
                <w:sz w:val="16"/>
                <w:szCs w:val="16"/>
              </w:rPr>
              <w:t>CRISPRi (KRAB–dCas9) with sgRNAs tiled across the element, plus an independent CRISPR deletion clone of the same interval as an orthogonal perturbation with a different mechanism.</w:t>
            </w:r>
          </w:p>
        </w:tc>
      </w:tr>
      <w:tr w14:paraId="27FCBA9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041C1E3C">
            <w:pPr>
              <w:spacing w:before="40" w:after="40" w:line="240" w:lineRule="auto"/>
              <w:jc w:val="left"/>
            </w:pPr>
            <w:r>
              <w:rPr>
                <w:rFonts w:ascii="Calibri" w:hAnsi="Calibri" w:eastAsia="Calibri" w:cs="Calibri"/>
                <w:b/>
                <w:bCs/>
                <w:color w:val="1C2733"/>
                <w:sz w:val="16"/>
                <w:szCs w:val="16"/>
              </w:rPr>
              <w:t>What is perturbed</w:t>
            </w:r>
          </w:p>
        </w:tc>
        <w:tc>
          <w:tcPr>
            <w:tcW w:w="7624" w:type="dxa"/>
            <w:shd w:val="clear" w:color="auto" w:fill="F6F8FA"/>
            <w:tcMar>
              <w:top w:w="60" w:type="dxa"/>
              <w:left w:w="90" w:type="dxa"/>
              <w:bottom w:w="60" w:type="dxa"/>
              <w:right w:w="90" w:type="dxa"/>
            </w:tcMar>
          </w:tcPr>
          <w:p w14:paraId="48F66533">
            <w:pPr>
              <w:spacing w:before="40" w:after="40" w:line="240" w:lineRule="auto"/>
              <w:jc w:val="left"/>
            </w:pPr>
            <w:r>
              <w:rPr>
                <w:rFonts w:ascii="Calibri" w:hAnsi="Calibri" w:eastAsia="Calibri" w:cs="Calibri"/>
                <w:b w:val="0"/>
                <w:bCs w:val="0"/>
                <w:color w:val="1C2733"/>
                <w:sz w:val="16"/>
                <w:szCs w:val="16"/>
              </w:rPr>
              <w:t>The element itself in its native chromatin context — not the sequence in a reporter, and not the loop anchor.</w:t>
            </w:r>
          </w:p>
        </w:tc>
      </w:tr>
      <w:tr w14:paraId="46FAD1D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0D9182FC">
            <w:pPr>
              <w:spacing w:before="40" w:after="40" w:line="240" w:lineRule="auto"/>
              <w:jc w:val="left"/>
            </w:pPr>
            <w:r>
              <w:rPr>
                <w:rFonts w:ascii="Calibri" w:hAnsi="Calibri" w:eastAsia="Calibri" w:cs="Calibri"/>
                <w:b/>
                <w:bCs/>
                <w:color w:val="1C2733"/>
                <w:sz w:val="16"/>
                <w:szCs w:val="16"/>
              </w:rPr>
              <w:t>Read-out</w:t>
            </w:r>
          </w:p>
        </w:tc>
        <w:tc>
          <w:tcPr>
            <w:tcW w:w="7624" w:type="dxa"/>
            <w:tcMar>
              <w:top w:w="60" w:type="dxa"/>
              <w:left w:w="90" w:type="dxa"/>
              <w:bottom w:w="60" w:type="dxa"/>
              <w:right w:w="90" w:type="dxa"/>
            </w:tcMar>
          </w:tcPr>
          <w:p w14:paraId="2F05463A">
            <w:pPr>
              <w:spacing w:before="40" w:after="40" w:line="240" w:lineRule="auto"/>
              <w:jc w:val="left"/>
            </w:pPr>
            <w:r>
              <w:rPr>
                <w:rFonts w:ascii="Calibri" w:hAnsi="Calibri" w:eastAsia="Calibri" w:cs="Calibri"/>
                <w:b w:val="0"/>
                <w:bCs w:val="0"/>
                <w:color w:val="1C2733"/>
                <w:sz w:val="16"/>
                <w:szCs w:val="16"/>
              </w:rPr>
              <w:t>Gene Y mRNA by RT-qPCR and RNA-seq at 48–72 h; nascent transcription (PRO-seq) in the deletion clone to confirm the effect is on transcription rate rather than transcript stability.</w:t>
            </w:r>
          </w:p>
        </w:tc>
      </w:tr>
      <w:tr w14:paraId="2A9081C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02B84183">
            <w:pPr>
              <w:spacing w:before="40" w:after="40" w:line="240" w:lineRule="auto"/>
              <w:jc w:val="left"/>
            </w:pPr>
            <w:r>
              <w:rPr>
                <w:rFonts w:ascii="Calibri" w:hAnsi="Calibri" w:eastAsia="Calibri" w:cs="Calibri"/>
                <w:b/>
                <w:bCs/>
                <w:color w:val="1C2733"/>
                <w:sz w:val="16"/>
                <w:szCs w:val="16"/>
              </w:rPr>
              <w:t>Expected result if the element is causal</w:t>
            </w:r>
          </w:p>
        </w:tc>
        <w:tc>
          <w:tcPr>
            <w:tcW w:w="7624" w:type="dxa"/>
            <w:shd w:val="clear" w:color="auto" w:fill="F6F8FA"/>
            <w:tcMar>
              <w:top w:w="60" w:type="dxa"/>
              <w:left w:w="90" w:type="dxa"/>
              <w:bottom w:w="60" w:type="dxa"/>
              <w:right w:w="90" w:type="dxa"/>
            </w:tcMar>
          </w:tcPr>
          <w:p w14:paraId="7C6DCA80">
            <w:pPr>
              <w:spacing w:before="40" w:after="40" w:line="240" w:lineRule="auto"/>
              <w:jc w:val="left"/>
            </w:pPr>
            <w:r>
              <w:rPr>
                <w:rFonts w:ascii="Calibri" w:hAnsi="Calibri" w:eastAsia="Calibri" w:cs="Calibri"/>
                <w:b w:val="0"/>
                <w:bCs w:val="0"/>
                <w:color w:val="1C2733"/>
                <w:sz w:val="16"/>
                <w:szCs w:val="16"/>
              </w:rPr>
              <w:t>Gene Y falls substantially with multiple independent sgRNAs across the element; the deletion clone reproduces the effect; genes in the same TAD are unaffected.</w:t>
            </w:r>
          </w:p>
        </w:tc>
      </w:tr>
      <w:tr w14:paraId="35725E5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76AA8AA3">
            <w:pPr>
              <w:spacing w:before="40" w:after="40" w:line="240" w:lineRule="auto"/>
              <w:jc w:val="left"/>
            </w:pPr>
            <w:r>
              <w:rPr>
                <w:rFonts w:ascii="Calibri" w:hAnsi="Calibri" w:eastAsia="Calibri" w:cs="Calibri"/>
                <w:b/>
                <w:bCs/>
                <w:color w:val="1C2733"/>
                <w:sz w:val="16"/>
                <w:szCs w:val="16"/>
              </w:rPr>
              <w:t>Expected result if the bystander model is true</w:t>
            </w:r>
          </w:p>
        </w:tc>
        <w:tc>
          <w:tcPr>
            <w:tcW w:w="7624" w:type="dxa"/>
            <w:tcMar>
              <w:top w:w="60" w:type="dxa"/>
              <w:left w:w="90" w:type="dxa"/>
              <w:bottom w:w="60" w:type="dxa"/>
              <w:right w:w="90" w:type="dxa"/>
            </w:tcMar>
          </w:tcPr>
          <w:p w14:paraId="720B295D">
            <w:pPr>
              <w:spacing w:before="40" w:after="40" w:line="240" w:lineRule="auto"/>
              <w:jc w:val="left"/>
            </w:pPr>
            <w:r>
              <w:rPr>
                <w:rFonts w:ascii="Calibri" w:hAnsi="Calibri" w:eastAsia="Calibri" w:cs="Calibri"/>
                <w:b w:val="0"/>
                <w:bCs w:val="0"/>
                <w:color w:val="1C2733"/>
                <w:sz w:val="16"/>
                <w:szCs w:val="16"/>
              </w:rPr>
              <w:t>Gene Y is unchanged by element silencing and by deletion, despite efficient repression at the element (confirmed by ATAC or H3K9me3 CUT&amp;Tag at the target).</w:t>
            </w:r>
          </w:p>
        </w:tc>
      </w:tr>
      <w:tr w14:paraId="087DAF4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2F1AC08A">
            <w:pPr>
              <w:spacing w:before="40" w:after="40" w:line="240" w:lineRule="auto"/>
              <w:jc w:val="left"/>
            </w:pPr>
            <w:r>
              <w:rPr>
                <w:rFonts w:ascii="Calibri" w:hAnsi="Calibri" w:eastAsia="Calibri" w:cs="Calibri"/>
                <w:b/>
                <w:bCs/>
                <w:color w:val="1C2733"/>
                <w:sz w:val="16"/>
                <w:szCs w:val="16"/>
              </w:rPr>
              <w:t>Key controls</w:t>
            </w:r>
          </w:p>
        </w:tc>
        <w:tc>
          <w:tcPr>
            <w:tcW w:w="7624" w:type="dxa"/>
            <w:shd w:val="clear" w:color="auto" w:fill="F6F8FA"/>
            <w:tcMar>
              <w:top w:w="60" w:type="dxa"/>
              <w:left w:w="90" w:type="dxa"/>
              <w:bottom w:w="60" w:type="dxa"/>
              <w:right w:w="90" w:type="dxa"/>
            </w:tcMar>
          </w:tcPr>
          <w:p w14:paraId="75D66C98">
            <w:pPr>
              <w:spacing w:before="40" w:after="40" w:line="240" w:lineRule="auto"/>
              <w:jc w:val="left"/>
            </w:pPr>
            <w:r>
              <w:rPr>
                <w:rFonts w:ascii="Calibri" w:hAnsi="Calibri" w:eastAsia="Calibri" w:cs="Calibri"/>
                <w:b w:val="0"/>
                <w:bCs w:val="0"/>
                <w:color w:val="1C2733"/>
                <w:sz w:val="16"/>
                <w:szCs w:val="16"/>
              </w:rPr>
              <w:t>Non-targeting sgRNA; a distance-matched sgRNA ~50 kb away to detect KRAB spreading; H3K9me3 CUT&amp;Tag to measure how far the silencing actually spread; a second gene in the same TAD as a specificity read-out; dCas9-p300 re-activation as a rescue; ≥ 3 independent sgRNAs so that a single off-target cannot carry the result.</w:t>
            </w:r>
          </w:p>
        </w:tc>
      </w:tr>
      <w:tr w14:paraId="73F52B4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0A83B4A4">
            <w:pPr>
              <w:spacing w:before="40" w:after="40" w:line="240" w:lineRule="auto"/>
              <w:jc w:val="left"/>
            </w:pPr>
            <w:r>
              <w:rPr>
                <w:rFonts w:ascii="Calibri" w:hAnsi="Calibri" w:eastAsia="Calibri" w:cs="Calibri"/>
                <w:b/>
                <w:bCs/>
                <w:color w:val="1C2733"/>
                <w:sz w:val="16"/>
                <w:szCs w:val="16"/>
              </w:rPr>
              <w:t>What would falsify my model</w:t>
            </w:r>
          </w:p>
        </w:tc>
        <w:tc>
          <w:tcPr>
            <w:tcW w:w="7624" w:type="dxa"/>
            <w:tcMar>
              <w:top w:w="60" w:type="dxa"/>
              <w:left w:w="90" w:type="dxa"/>
              <w:bottom w:w="60" w:type="dxa"/>
              <w:right w:w="90" w:type="dxa"/>
            </w:tcMar>
          </w:tcPr>
          <w:p w14:paraId="0A52BF63">
            <w:pPr>
              <w:spacing w:before="40" w:after="40" w:line="240" w:lineRule="auto"/>
              <w:jc w:val="left"/>
            </w:pPr>
            <w:r>
              <w:rPr>
                <w:rFonts w:ascii="Calibri" w:hAnsi="Calibri" w:eastAsia="Calibri" w:cs="Calibri"/>
                <w:b w:val="0"/>
                <w:bCs w:val="0"/>
                <w:color w:val="1C2733"/>
                <w:sz w:val="16"/>
                <w:szCs w:val="16"/>
              </w:rPr>
              <w:t>Efficient, confirmed silencing at the element with no change in Gene Y — or a change in Gene Y that is reproduced by the distance-matched control sgRNA, which would mean I measured spreading rather than the element.</w:t>
            </w:r>
          </w:p>
        </w:tc>
      </w:tr>
    </w:tbl>
    <w:p w14:paraId="3AF94B5A">
      <w:pPr>
        <w:pStyle w:val="4"/>
        <w:spacing w:before="200" w:after="80"/>
      </w:pPr>
      <w:r>
        <w:rPr>
          <w:rFonts w:ascii="Calibri" w:hAnsi="Calibri" w:eastAsia="Calibri" w:cs="Calibri"/>
          <w:b/>
          <w:bCs/>
          <w:color w:val="4A7C3F"/>
          <w:sz w:val="21"/>
          <w:szCs w:val="21"/>
        </w:rPr>
        <w:t>~200-word integrated interpretation</w:t>
      </w:r>
    </w:p>
    <w:p w14:paraId="7C6438C4">
      <w:pPr>
        <w:spacing w:before="60" w:after="100" w:line="276" w:lineRule="auto"/>
        <w:jc w:val="left"/>
      </w:pPr>
      <w:r>
        <w:rPr>
          <w:rFonts w:ascii="Calibri" w:hAnsi="Calibri" w:eastAsia="Calibri" w:cs="Calibri"/>
          <w:color w:val="1C2733"/>
          <w:sz w:val="21"/>
          <w:szCs w:val="21"/>
        </w:rPr>
        <w:t>Five layers describe this locus, but they are not five independent tests. Accessibility, CpG hypomethylation and H3K27ac are three readouts of one underlying event — transcription-factor occupancy — so the evidence amounts to a chromatin change, a transcriptional change, and a structural prior. Read that way, the case is suggestive rather than strong. Each layer also carries a specific limit: ATAC cannot name the factor or the target gene; H3K27ac marks active enhancers but is dispensable for enhancer function in H3.3-K27R cells, so it reports state, not activity; hypomethylation is more plausibly a consequence of binding than its cause, and neither WGBS nor EM-seq separates 5mC from 5hmC; Hi-C contact largely pre-exists activation and survives acute cohesin or CTCF loss; and the RNA-seq change is the phenotype to be explained, not evidence for a mechanism. A co-regulated-bystander model — one induced factor acting independently at the element and at the promoter, with contact supplied by pre-existing architecture — explains every observation equally well. Because the two models are indistinguishable by any additional correlative assay, the only informative next experiment is perturbation of the element in its native locus, with controls designed to detect KRAB spreading.</w:t>
      </w:r>
    </w:p>
    <w:p w14:paraId="47E0C4C9">
      <w:pPr>
        <w:pBdr>
          <w:left w:val="single" w:color="2B6CA3" w:sz="18" w:space="8"/>
        </w:pBdr>
        <w:shd w:val="clear" w:fill="EAF1F7"/>
        <w:spacing w:before="180" w:after="180" w:line="276" w:lineRule="auto"/>
        <w:ind w:left="200" w:right="200"/>
      </w:pPr>
      <w:r>
        <w:rPr>
          <w:rFonts w:ascii="Calibri" w:hAnsi="Calibri" w:eastAsia="Calibri" w:cs="Calibri"/>
          <w:b/>
          <w:bCs/>
          <w:color w:val="15405F"/>
          <w:sz w:val="21"/>
          <w:szCs w:val="21"/>
        </w:rPr>
        <w:t>The candidate element regulates Gene Y by acting as a condition-specific distal enhancer — transcription-factor occupancy opening and demethylating the element, p300/CBP-associated acetylation of the surrounding chromatin, and a pre-existing intra-TAD contact delivering that activity to the Gene Y promoter to raise its transcription rate — and this can be tested by CRISPRi tiling of the element plus an independent deletion clone, read out as Gene Y nascent and steady-state RNA, with a distance-matched control sgRNA and H3K9me3 CUT&amp;Tag to prove the effect is the element and not spreading; unchanged Gene Y despite confirmed silencing would falsify the model in favour of the co-regulated-bystander alternative.</w:t>
      </w:r>
    </w:p>
    <w:p w14:paraId="688697FE">
      <w:r>
        <w:br w:type="page"/>
      </w:r>
    </w:p>
    <w:p w14:paraId="31634BCA">
      <w:pPr>
        <w:pStyle w:val="2"/>
        <w:pBdr>
          <w:bottom w:val="single" w:color="2B6CA3" w:sz="10" w:space="4"/>
        </w:pBdr>
        <w:spacing w:before="320" w:after="140"/>
      </w:pPr>
      <w:r>
        <w:rPr>
          <w:rFonts w:ascii="Calibri" w:hAnsi="Calibri" w:eastAsia="Calibri" w:cs="Calibri"/>
          <w:b/>
          <w:bCs/>
          <w:color w:val="2B6CA3"/>
          <w:sz w:val="28"/>
          <w:szCs w:val="28"/>
        </w:rPr>
        <w:t xml:space="preserve">Question 4 — AI-Assisted Variant Prioritization </w:t>
      </w:r>
    </w:p>
    <w:p w14:paraId="6F9F81E9">
      <w:pPr>
        <w:spacing w:before="60" w:after="100" w:line="276" w:lineRule="auto"/>
        <w:jc w:val="left"/>
      </w:pPr>
      <w:r>
        <w:rPr>
          <w:rFonts w:ascii="Calibri" w:hAnsi="Calibri" w:eastAsia="Calibri" w:cs="Calibri"/>
          <w:b/>
          <w:bCs/>
          <w:color w:val="1C2733"/>
          <w:sz w:val="21"/>
          <w:szCs w:val="21"/>
        </w:rPr>
        <w:t xml:space="preserve">Data. </w:t>
      </w:r>
      <w:r>
        <w:rPr>
          <w:rFonts w:ascii="Calibri" w:hAnsi="Calibri" w:eastAsia="Calibri" w:cs="Calibri"/>
          <w:color w:val="1C2733"/>
          <w:sz w:val="21"/>
          <w:szCs w:val="21"/>
        </w:rPr>
        <w:t>data/variants_q4.tsv, twelve synthetic variants with CHROM, POS, REF, ALT, FILTER, DP, GQ, AF, GENE, CONSEQUENCE, CLINVAR_SIG, CLINVAR_ID and NOTE. The package README states that gene names, ClinVar-style IDs and coordinates are illustrative. I treat the NOTE column as a hint to be tested, not as a ranking, and — as shown in §4.3 — I treat the CONSEQUENCE and CLINVAR columns as claims to be re-derived rather than as evidence.</w:t>
      </w:r>
    </w:p>
    <w:p w14:paraId="35A2E23B">
      <w:pPr>
        <w:pStyle w:val="3"/>
        <w:spacing w:before="260" w:after="100"/>
      </w:pPr>
      <w:r>
        <w:rPr>
          <w:rFonts w:ascii="Calibri" w:hAnsi="Calibri" w:eastAsia="Calibri" w:cs="Calibri"/>
          <w:b/>
          <w:bCs/>
          <w:color w:val="1C2733"/>
          <w:sz w:val="24"/>
          <w:szCs w:val="24"/>
        </w:rPr>
        <w:t>1.  My reasoning before AI</w:t>
      </w:r>
    </w:p>
    <w:p w14:paraId="794C0BB8">
      <w:pPr>
        <w:spacing w:before="60" w:after="100" w:line="276" w:lineRule="auto"/>
        <w:jc w:val="left"/>
      </w:pPr>
      <w:r>
        <w:rPr>
          <w:rFonts w:ascii="Calibri" w:hAnsi="Calibri" w:eastAsia="Calibri" w:cs="Calibri"/>
          <w:color w:val="1C2733"/>
          <w:sz w:val="21"/>
          <w:szCs w:val="21"/>
        </w:rPr>
        <w:t>I defined the filter logic before writing or requesting any code, and ordered it so that the cheapest and most decisive criteria run first. The premise I am filtering under is explicit, because it determines the thresholds: a rare, highly penetrant germline disease allele in a single sequenced individual.</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1900"/>
        <w:gridCol w:w="3400"/>
        <w:gridCol w:w="4924"/>
      </w:tblGrid>
      <w:tr w14:paraId="576A618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1900" w:type="dxa"/>
            <w:shd w:val="clear" w:color="auto" w:fill="DCE7F1"/>
            <w:tcMar>
              <w:top w:w="60" w:type="dxa"/>
              <w:left w:w="90" w:type="dxa"/>
              <w:bottom w:w="60" w:type="dxa"/>
              <w:right w:w="90" w:type="dxa"/>
            </w:tcMar>
          </w:tcPr>
          <w:p w14:paraId="1CD9F1DA">
            <w:pPr>
              <w:spacing w:before="40" w:after="40" w:line="240" w:lineRule="auto"/>
              <w:jc w:val="left"/>
            </w:pPr>
            <w:r>
              <w:rPr>
                <w:rFonts w:ascii="Calibri" w:hAnsi="Calibri" w:eastAsia="Calibri" w:cs="Calibri"/>
                <w:b/>
                <w:bCs/>
                <w:color w:val="1C2733"/>
                <w:sz w:val="15"/>
                <w:szCs w:val="15"/>
              </w:rPr>
              <w:t>Criterion</w:t>
            </w:r>
          </w:p>
        </w:tc>
        <w:tc>
          <w:tcPr>
            <w:tcW w:w="3400" w:type="dxa"/>
            <w:shd w:val="clear" w:color="auto" w:fill="DCE7F1"/>
            <w:tcMar>
              <w:top w:w="60" w:type="dxa"/>
              <w:left w:w="90" w:type="dxa"/>
              <w:bottom w:w="60" w:type="dxa"/>
              <w:right w:w="90" w:type="dxa"/>
            </w:tcMar>
          </w:tcPr>
          <w:p w14:paraId="2954C9DE">
            <w:pPr>
              <w:spacing w:before="40" w:after="40" w:line="240" w:lineRule="auto"/>
              <w:jc w:val="left"/>
            </w:pPr>
            <w:r>
              <w:rPr>
                <w:rFonts w:ascii="Calibri" w:hAnsi="Calibri" w:eastAsia="Calibri" w:cs="Calibri"/>
                <w:b/>
                <w:bCs/>
                <w:color w:val="1C2733"/>
                <w:sz w:val="15"/>
                <w:szCs w:val="15"/>
              </w:rPr>
              <w:t>Rule / threshold</w:t>
            </w:r>
          </w:p>
        </w:tc>
        <w:tc>
          <w:tcPr>
            <w:tcW w:w="4924" w:type="dxa"/>
            <w:shd w:val="clear" w:color="auto" w:fill="DCE7F1"/>
            <w:tcMar>
              <w:top w:w="60" w:type="dxa"/>
              <w:left w:w="90" w:type="dxa"/>
              <w:bottom w:w="60" w:type="dxa"/>
              <w:right w:w="90" w:type="dxa"/>
            </w:tcMar>
          </w:tcPr>
          <w:p w14:paraId="05AB03D5">
            <w:pPr>
              <w:spacing w:before="40" w:after="40" w:line="240" w:lineRule="auto"/>
              <w:jc w:val="left"/>
            </w:pPr>
            <w:r>
              <w:rPr>
                <w:rFonts w:ascii="Calibri" w:hAnsi="Calibri" w:eastAsia="Calibri" w:cs="Calibri"/>
                <w:b/>
                <w:bCs/>
                <w:color w:val="1C2733"/>
                <w:sz w:val="15"/>
                <w:szCs w:val="15"/>
              </w:rPr>
              <w:t>Rationale</w:t>
            </w:r>
          </w:p>
        </w:tc>
      </w:tr>
      <w:tr w14:paraId="2202841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3271B958">
            <w:pPr>
              <w:spacing w:before="40" w:after="40" w:line="240" w:lineRule="auto"/>
              <w:jc w:val="left"/>
            </w:pPr>
            <w:r>
              <w:rPr>
                <w:rFonts w:ascii="Calibri" w:hAnsi="Calibri" w:eastAsia="Calibri" w:cs="Calibri"/>
                <w:color w:val="1C2733"/>
                <w:sz w:val="15"/>
                <w:szCs w:val="15"/>
              </w:rPr>
              <w:t>FILTER</w:t>
            </w:r>
          </w:p>
        </w:tc>
        <w:tc>
          <w:tcPr>
            <w:tcW w:w="3400" w:type="dxa"/>
            <w:tcMar>
              <w:top w:w="60" w:type="dxa"/>
              <w:left w:w="90" w:type="dxa"/>
              <w:bottom w:w="60" w:type="dxa"/>
              <w:right w:w="90" w:type="dxa"/>
            </w:tcMar>
          </w:tcPr>
          <w:p w14:paraId="7AF987D8">
            <w:pPr>
              <w:spacing w:before="40" w:after="40" w:line="240" w:lineRule="auto"/>
              <w:jc w:val="left"/>
            </w:pPr>
            <w:r>
              <w:rPr>
                <w:rFonts w:ascii="Calibri" w:hAnsi="Calibri" w:eastAsia="Calibri" w:cs="Calibri"/>
                <w:color w:val="1C2733"/>
                <w:sz w:val="15"/>
                <w:szCs w:val="15"/>
              </w:rPr>
              <w:t>Keep FILTER == PASS only</w:t>
            </w:r>
          </w:p>
        </w:tc>
        <w:tc>
          <w:tcPr>
            <w:tcW w:w="4924" w:type="dxa"/>
            <w:tcMar>
              <w:top w:w="60" w:type="dxa"/>
              <w:left w:w="90" w:type="dxa"/>
              <w:bottom w:w="60" w:type="dxa"/>
              <w:right w:w="90" w:type="dxa"/>
            </w:tcMar>
          </w:tcPr>
          <w:p w14:paraId="4F578244">
            <w:pPr>
              <w:spacing w:before="40" w:after="40" w:line="240" w:lineRule="auto"/>
              <w:jc w:val="left"/>
            </w:pPr>
            <w:r>
              <w:rPr>
                <w:rFonts w:ascii="Calibri" w:hAnsi="Calibri" w:eastAsia="Calibri" w:cs="Calibri"/>
                <w:color w:val="1C2733"/>
                <w:sz w:val="15"/>
                <w:szCs w:val="15"/>
              </w:rPr>
              <w:t>A variant the caller distrusts is not a biological observation. This is the cheapest discriminator and it removes the most dangerous class of false lead — a technically wrong call in a famous gene.</w:t>
            </w:r>
          </w:p>
        </w:tc>
      </w:tr>
      <w:tr w14:paraId="1A891B35">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2855B8E7">
            <w:pPr>
              <w:spacing w:before="40" w:after="40" w:line="240" w:lineRule="auto"/>
              <w:jc w:val="left"/>
            </w:pPr>
            <w:r>
              <w:rPr>
                <w:rFonts w:ascii="Calibri" w:hAnsi="Calibri" w:eastAsia="Calibri" w:cs="Calibri"/>
                <w:color w:val="1C2733"/>
                <w:sz w:val="15"/>
                <w:szCs w:val="15"/>
              </w:rPr>
              <w:t>Depth (DP)</w:t>
            </w:r>
          </w:p>
        </w:tc>
        <w:tc>
          <w:tcPr>
            <w:tcW w:w="3400" w:type="dxa"/>
            <w:shd w:val="clear" w:color="auto" w:fill="F6F8FA"/>
            <w:tcMar>
              <w:top w:w="60" w:type="dxa"/>
              <w:left w:w="90" w:type="dxa"/>
              <w:bottom w:w="60" w:type="dxa"/>
              <w:right w:w="90" w:type="dxa"/>
            </w:tcMar>
          </w:tcPr>
          <w:p w14:paraId="48781C17">
            <w:pPr>
              <w:spacing w:before="40" w:after="40" w:line="240" w:lineRule="auto"/>
              <w:jc w:val="left"/>
            </w:pPr>
            <w:r>
              <w:rPr>
                <w:rFonts w:ascii="Calibri" w:hAnsi="Calibri" w:eastAsia="Calibri" w:cs="Calibri"/>
                <w:color w:val="1C2733"/>
                <w:sz w:val="15"/>
                <w:szCs w:val="15"/>
              </w:rPr>
              <w:t>DP ≥ 20</w:t>
            </w:r>
          </w:p>
        </w:tc>
        <w:tc>
          <w:tcPr>
            <w:tcW w:w="4924" w:type="dxa"/>
            <w:shd w:val="clear" w:color="auto" w:fill="F6F8FA"/>
            <w:tcMar>
              <w:top w:w="60" w:type="dxa"/>
              <w:left w:w="90" w:type="dxa"/>
              <w:bottom w:w="60" w:type="dxa"/>
              <w:right w:w="90" w:type="dxa"/>
            </w:tcMar>
          </w:tcPr>
          <w:p w14:paraId="766079A8">
            <w:pPr>
              <w:spacing w:before="40" w:after="40" w:line="240" w:lineRule="auto"/>
              <w:jc w:val="left"/>
            </w:pPr>
            <w:r>
              <w:rPr>
                <w:rFonts w:ascii="Calibri" w:hAnsi="Calibri" w:eastAsia="Calibri" w:cs="Calibri"/>
                <w:color w:val="1C2733"/>
                <w:sz w:val="15"/>
                <w:szCs w:val="15"/>
              </w:rPr>
              <w:t>Below ~20× a heterozygous site is regularly under-sampled, and the genotype rather than the position becomes unreliable. 20× is the conventional floor for confident germline heterozygote calling in WGS.</w:t>
            </w:r>
          </w:p>
        </w:tc>
      </w:tr>
      <w:tr w14:paraId="2A60747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6257AC8A">
            <w:pPr>
              <w:spacing w:before="40" w:after="40" w:line="240" w:lineRule="auto"/>
              <w:jc w:val="left"/>
            </w:pPr>
            <w:r>
              <w:rPr>
                <w:rFonts w:ascii="Calibri" w:hAnsi="Calibri" w:eastAsia="Calibri" w:cs="Calibri"/>
                <w:color w:val="1C2733"/>
                <w:sz w:val="15"/>
                <w:szCs w:val="15"/>
              </w:rPr>
              <w:t>Genotype quality (GQ)</w:t>
            </w:r>
          </w:p>
        </w:tc>
        <w:tc>
          <w:tcPr>
            <w:tcW w:w="3400" w:type="dxa"/>
            <w:tcMar>
              <w:top w:w="60" w:type="dxa"/>
              <w:left w:w="90" w:type="dxa"/>
              <w:bottom w:w="60" w:type="dxa"/>
              <w:right w:w="90" w:type="dxa"/>
            </w:tcMar>
          </w:tcPr>
          <w:p w14:paraId="5BDA51AC">
            <w:pPr>
              <w:spacing w:before="40" w:after="40" w:line="240" w:lineRule="auto"/>
              <w:jc w:val="left"/>
            </w:pPr>
            <w:r>
              <w:rPr>
                <w:rFonts w:ascii="Calibri" w:hAnsi="Calibri" w:eastAsia="Calibri" w:cs="Calibri"/>
                <w:color w:val="1C2733"/>
                <w:sz w:val="15"/>
                <w:szCs w:val="15"/>
              </w:rPr>
              <w:t>GQ ≥ 30</w:t>
            </w:r>
          </w:p>
        </w:tc>
        <w:tc>
          <w:tcPr>
            <w:tcW w:w="4924" w:type="dxa"/>
            <w:tcMar>
              <w:top w:w="60" w:type="dxa"/>
              <w:left w:w="90" w:type="dxa"/>
              <w:bottom w:w="60" w:type="dxa"/>
              <w:right w:w="90" w:type="dxa"/>
            </w:tcMar>
          </w:tcPr>
          <w:p w14:paraId="1A20A1D2">
            <w:pPr>
              <w:spacing w:before="40" w:after="40" w:line="240" w:lineRule="auto"/>
              <w:jc w:val="left"/>
            </w:pPr>
            <w:r>
              <w:rPr>
                <w:rFonts w:ascii="Calibri" w:hAnsi="Calibri" w:eastAsia="Calibri" w:cs="Calibri"/>
                <w:color w:val="1C2733"/>
                <w:sz w:val="15"/>
                <w:szCs w:val="15"/>
              </w:rPr>
              <w:t>GQ 30 corresponds to a ~1-in-1,000 probability that the genotype call is wrong. Lower values mean the caller could not distinguish the genotypes, which is a different failure from low depth and must be filtered separately.</w:t>
            </w:r>
          </w:p>
        </w:tc>
      </w:tr>
      <w:tr w14:paraId="3FD115F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346219A5">
            <w:pPr>
              <w:spacing w:before="40" w:after="40" w:line="240" w:lineRule="auto"/>
              <w:jc w:val="left"/>
            </w:pPr>
            <w:r>
              <w:rPr>
                <w:rFonts w:ascii="Calibri" w:hAnsi="Calibri" w:eastAsia="Calibri" w:cs="Calibri"/>
                <w:color w:val="1C2733"/>
                <w:sz w:val="15"/>
                <w:szCs w:val="15"/>
              </w:rPr>
              <w:t>Allele frequency (AF)</w:t>
            </w:r>
          </w:p>
        </w:tc>
        <w:tc>
          <w:tcPr>
            <w:tcW w:w="3400" w:type="dxa"/>
            <w:shd w:val="clear" w:color="auto" w:fill="F6F8FA"/>
            <w:tcMar>
              <w:top w:w="60" w:type="dxa"/>
              <w:left w:w="90" w:type="dxa"/>
              <w:bottom w:w="60" w:type="dxa"/>
              <w:right w:w="90" w:type="dxa"/>
            </w:tcMar>
          </w:tcPr>
          <w:p w14:paraId="088D2581">
            <w:pPr>
              <w:spacing w:before="40" w:after="40" w:line="240" w:lineRule="auto"/>
              <w:jc w:val="left"/>
            </w:pPr>
            <w:r>
              <w:rPr>
                <w:rFonts w:ascii="Calibri" w:hAnsi="Calibri" w:eastAsia="Calibri" w:cs="Calibri"/>
                <w:color w:val="1C2733"/>
                <w:sz w:val="15"/>
                <w:szCs w:val="15"/>
              </w:rPr>
              <w:t>AF ≤ 0.001</w:t>
            </w:r>
          </w:p>
        </w:tc>
        <w:tc>
          <w:tcPr>
            <w:tcW w:w="4924" w:type="dxa"/>
            <w:shd w:val="clear" w:color="auto" w:fill="F6F8FA"/>
            <w:tcMar>
              <w:top w:w="60" w:type="dxa"/>
              <w:left w:w="90" w:type="dxa"/>
              <w:bottom w:w="60" w:type="dxa"/>
              <w:right w:w="90" w:type="dxa"/>
            </w:tcMar>
          </w:tcPr>
          <w:p w14:paraId="5D2155F5">
            <w:pPr>
              <w:spacing w:before="40" w:after="40" w:line="240" w:lineRule="auto"/>
              <w:jc w:val="left"/>
            </w:pPr>
            <w:r>
              <w:rPr>
                <w:rFonts w:ascii="Calibri" w:hAnsi="Calibri" w:eastAsia="Calibri" w:cs="Calibri"/>
                <w:color w:val="1C2733"/>
                <w:sz w:val="15"/>
                <w:szCs w:val="15"/>
              </w:rPr>
              <w:t>Under a penetrant rare-disease premise, an allele carried by more than ~1 in 1,000 people would produce far more disease than is observed. This threshold is a statement about the disease model, not a universal constant — for a common complex trait it would be wrong.</w:t>
            </w:r>
          </w:p>
        </w:tc>
      </w:tr>
      <w:tr w14:paraId="06DB95A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4172CC87">
            <w:pPr>
              <w:spacing w:before="40" w:after="40" w:line="240" w:lineRule="auto"/>
              <w:jc w:val="left"/>
            </w:pPr>
            <w:r>
              <w:rPr>
                <w:rFonts w:ascii="Calibri" w:hAnsi="Calibri" w:eastAsia="Calibri" w:cs="Calibri"/>
                <w:color w:val="1C2733"/>
                <w:sz w:val="15"/>
                <w:szCs w:val="15"/>
              </w:rPr>
              <w:t>Consequence</w:t>
            </w:r>
          </w:p>
        </w:tc>
        <w:tc>
          <w:tcPr>
            <w:tcW w:w="3400" w:type="dxa"/>
            <w:tcMar>
              <w:top w:w="60" w:type="dxa"/>
              <w:left w:w="90" w:type="dxa"/>
              <w:bottom w:w="60" w:type="dxa"/>
              <w:right w:w="90" w:type="dxa"/>
            </w:tcMar>
          </w:tcPr>
          <w:p w14:paraId="609B13AB">
            <w:pPr>
              <w:spacing w:before="40" w:after="40" w:line="240" w:lineRule="auto"/>
              <w:jc w:val="left"/>
            </w:pPr>
            <w:r>
              <w:rPr>
                <w:rFonts w:ascii="Calibri" w:hAnsi="Calibri" w:eastAsia="Calibri" w:cs="Calibri"/>
                <w:color w:val="1C2733"/>
                <w:sz w:val="15"/>
                <w:szCs w:val="15"/>
              </w:rPr>
              <w:t>Keep stop_gained, frameshift, splice_acceptor/donor, missense; route intergenic and intronic to a separate non-coding queue rather than discarding them</w:t>
            </w:r>
          </w:p>
        </w:tc>
        <w:tc>
          <w:tcPr>
            <w:tcW w:w="4924" w:type="dxa"/>
            <w:tcMar>
              <w:top w:w="60" w:type="dxa"/>
              <w:left w:w="90" w:type="dxa"/>
              <w:bottom w:w="60" w:type="dxa"/>
              <w:right w:w="90" w:type="dxa"/>
            </w:tcMar>
          </w:tcPr>
          <w:p w14:paraId="35640E8B">
            <w:pPr>
              <w:spacing w:before="40" w:after="40" w:line="240" w:lineRule="auto"/>
              <w:jc w:val="left"/>
            </w:pPr>
            <w:r>
              <w:rPr>
                <w:rFonts w:ascii="Calibri" w:hAnsi="Calibri" w:eastAsia="Calibri" w:cs="Calibri"/>
                <w:color w:val="1C2733"/>
                <w:sz w:val="15"/>
                <w:szCs w:val="15"/>
              </w:rPr>
              <w:t>Coding and canonical-splice consequences have interpretable mechanisms. Non-coding variants are not uninterpretable — they are uninterpretable with this evidence, so they are parked, not deleted.</w:t>
            </w:r>
          </w:p>
        </w:tc>
      </w:tr>
      <w:tr w14:paraId="3801C8A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0B717088">
            <w:pPr>
              <w:spacing w:before="40" w:after="40" w:line="240" w:lineRule="auto"/>
              <w:jc w:val="left"/>
            </w:pPr>
            <w:r>
              <w:rPr>
                <w:rFonts w:ascii="Calibri" w:hAnsi="Calibri" w:eastAsia="Calibri" w:cs="Calibri"/>
                <w:color w:val="1C2733"/>
                <w:sz w:val="15"/>
                <w:szCs w:val="15"/>
              </w:rPr>
              <w:t>Clinical annotation</w:t>
            </w:r>
          </w:p>
        </w:tc>
        <w:tc>
          <w:tcPr>
            <w:tcW w:w="3400" w:type="dxa"/>
            <w:shd w:val="clear" w:color="auto" w:fill="F6F8FA"/>
            <w:tcMar>
              <w:top w:w="60" w:type="dxa"/>
              <w:left w:w="90" w:type="dxa"/>
              <w:bottom w:w="60" w:type="dxa"/>
              <w:right w:w="90" w:type="dxa"/>
            </w:tcMar>
          </w:tcPr>
          <w:p w14:paraId="778A415F">
            <w:pPr>
              <w:spacing w:before="40" w:after="40" w:line="240" w:lineRule="auto"/>
              <w:jc w:val="left"/>
            </w:pPr>
            <w:r>
              <w:rPr>
                <w:rFonts w:ascii="Calibri" w:hAnsi="Calibri" w:eastAsia="Calibri" w:cs="Calibri"/>
                <w:color w:val="1C2733"/>
                <w:sz w:val="15"/>
                <w:szCs w:val="15"/>
              </w:rPr>
              <w:t>Rank by ClinVar label after filtering, never filter on it</w:t>
            </w:r>
          </w:p>
        </w:tc>
        <w:tc>
          <w:tcPr>
            <w:tcW w:w="4924" w:type="dxa"/>
            <w:shd w:val="clear" w:color="auto" w:fill="F6F8FA"/>
            <w:tcMar>
              <w:top w:w="60" w:type="dxa"/>
              <w:left w:w="90" w:type="dxa"/>
              <w:bottom w:w="60" w:type="dxa"/>
              <w:right w:w="90" w:type="dxa"/>
            </w:tcMar>
          </w:tcPr>
          <w:p w14:paraId="42ADC3D9">
            <w:pPr>
              <w:spacing w:before="40" w:after="40" w:line="240" w:lineRule="auto"/>
              <w:jc w:val="left"/>
            </w:pPr>
            <w:r>
              <w:rPr>
                <w:rFonts w:ascii="Calibri" w:hAnsi="Calibri" w:eastAsia="Calibri" w:cs="Calibri"/>
                <w:color w:val="1C2733"/>
                <w:sz w:val="15"/>
                <w:szCs w:val="15"/>
              </w:rPr>
              <w:t>Filtering on ClinVar would make the analysis circular — it would only ever rediscover what is already known, and would drop every novel pathogenic allele. It is a ranking signal at most.</w:t>
            </w:r>
          </w:p>
        </w:tc>
      </w:tr>
      <w:tr w14:paraId="76EB6790">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17AD81F6">
            <w:pPr>
              <w:spacing w:before="40" w:after="40" w:line="240" w:lineRule="auto"/>
              <w:jc w:val="left"/>
            </w:pPr>
            <w:r>
              <w:rPr>
                <w:rFonts w:ascii="Calibri" w:hAnsi="Calibri" w:eastAsia="Calibri" w:cs="Calibri"/>
                <w:color w:val="1C2733"/>
                <w:sz w:val="15"/>
                <w:szCs w:val="15"/>
              </w:rPr>
              <w:t>Gene / biology</w:t>
            </w:r>
          </w:p>
        </w:tc>
        <w:tc>
          <w:tcPr>
            <w:tcW w:w="3400" w:type="dxa"/>
            <w:tcMar>
              <w:top w:w="60" w:type="dxa"/>
              <w:left w:w="90" w:type="dxa"/>
              <w:bottom w:w="60" w:type="dxa"/>
              <w:right w:w="90" w:type="dxa"/>
            </w:tcMar>
          </w:tcPr>
          <w:p w14:paraId="45C04DC6">
            <w:pPr>
              <w:spacing w:before="40" w:after="40" w:line="240" w:lineRule="auto"/>
              <w:jc w:val="left"/>
            </w:pPr>
            <w:r>
              <w:rPr>
                <w:rFonts w:ascii="Calibri" w:hAnsi="Calibri" w:eastAsia="Calibri" w:cs="Calibri"/>
                <w:color w:val="1C2733"/>
                <w:sz w:val="15"/>
                <w:szCs w:val="15"/>
              </w:rPr>
              <w:t>Considered last, and stated as a bias</w:t>
            </w:r>
          </w:p>
        </w:tc>
        <w:tc>
          <w:tcPr>
            <w:tcW w:w="4924" w:type="dxa"/>
            <w:tcMar>
              <w:top w:w="60" w:type="dxa"/>
              <w:left w:w="90" w:type="dxa"/>
              <w:bottom w:w="60" w:type="dxa"/>
              <w:right w:w="90" w:type="dxa"/>
            </w:tcMar>
          </w:tcPr>
          <w:p w14:paraId="69F7D3D7">
            <w:pPr>
              <w:spacing w:before="40" w:after="40" w:line="240" w:lineRule="auto"/>
              <w:jc w:val="left"/>
            </w:pPr>
            <w:r>
              <w:rPr>
                <w:rFonts w:ascii="Calibri" w:hAnsi="Calibri" w:eastAsia="Calibri" w:cs="Calibri"/>
                <w:color w:val="1C2733"/>
                <w:sz w:val="15"/>
                <w:szCs w:val="15"/>
              </w:rPr>
              <w:t>Recognising a famous gene symbol is the strongest source of confirmation bias in this exercise. Applied after the objective filters, and only to frame the hypothesis.</w:t>
            </w:r>
          </w:p>
        </w:tc>
      </w:tr>
      <w:tr w14:paraId="0E3F8BF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shd w:val="clear" w:color="auto" w:fill="F6F8FA"/>
            <w:tcMar>
              <w:top w:w="60" w:type="dxa"/>
              <w:left w:w="90" w:type="dxa"/>
              <w:bottom w:w="60" w:type="dxa"/>
              <w:right w:w="90" w:type="dxa"/>
            </w:tcMar>
          </w:tcPr>
          <w:p w14:paraId="4FADA75E">
            <w:pPr>
              <w:spacing w:before="40" w:after="40" w:line="240" w:lineRule="auto"/>
              <w:jc w:val="left"/>
            </w:pPr>
            <w:r>
              <w:rPr>
                <w:rFonts w:ascii="Calibri" w:hAnsi="Calibri" w:eastAsia="Calibri" w:cs="Calibri"/>
                <w:color w:val="1C2733"/>
                <w:sz w:val="15"/>
                <w:szCs w:val="15"/>
              </w:rPr>
              <w:t>Hard excludes</w:t>
            </w:r>
          </w:p>
        </w:tc>
        <w:tc>
          <w:tcPr>
            <w:tcW w:w="3400" w:type="dxa"/>
            <w:shd w:val="clear" w:color="auto" w:fill="F6F8FA"/>
            <w:tcMar>
              <w:top w:w="60" w:type="dxa"/>
              <w:left w:w="90" w:type="dxa"/>
              <w:bottom w:w="60" w:type="dxa"/>
              <w:right w:w="90" w:type="dxa"/>
            </w:tcMar>
          </w:tcPr>
          <w:p w14:paraId="055A44A3">
            <w:pPr>
              <w:spacing w:before="40" w:after="40" w:line="240" w:lineRule="auto"/>
              <w:jc w:val="left"/>
            </w:pPr>
            <w:r>
              <w:rPr>
                <w:rFonts w:ascii="Calibri" w:hAnsi="Calibri" w:eastAsia="Calibri" w:cs="Calibri"/>
                <w:color w:val="1C2733"/>
                <w:sz w:val="15"/>
                <w:szCs w:val="15"/>
              </w:rPr>
              <w:t>FILTER ≠ PASS; DP &lt; 20 or GQ &lt; 30; AF above the rare-disease ceiling</w:t>
            </w:r>
          </w:p>
        </w:tc>
        <w:tc>
          <w:tcPr>
            <w:tcW w:w="4924" w:type="dxa"/>
            <w:shd w:val="clear" w:color="auto" w:fill="F6F8FA"/>
            <w:tcMar>
              <w:top w:w="60" w:type="dxa"/>
              <w:left w:w="90" w:type="dxa"/>
              <w:bottom w:w="60" w:type="dxa"/>
              <w:right w:w="90" w:type="dxa"/>
            </w:tcMar>
          </w:tcPr>
          <w:p w14:paraId="7F5D1D24">
            <w:pPr>
              <w:spacing w:before="40" w:after="40" w:line="240" w:lineRule="auto"/>
              <w:jc w:val="left"/>
            </w:pPr>
            <w:r>
              <w:rPr>
                <w:rFonts w:ascii="Calibri" w:hAnsi="Calibri" w:eastAsia="Calibri" w:cs="Calibri"/>
                <w:color w:val="1C2733"/>
                <w:sz w:val="15"/>
                <w:szCs w:val="15"/>
              </w:rPr>
              <w:t>—</w:t>
            </w:r>
          </w:p>
        </w:tc>
      </w:tr>
      <w:tr w14:paraId="1B1A81E3">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900" w:type="dxa"/>
            <w:tcMar>
              <w:top w:w="60" w:type="dxa"/>
              <w:left w:w="90" w:type="dxa"/>
              <w:bottom w:w="60" w:type="dxa"/>
              <w:right w:w="90" w:type="dxa"/>
            </w:tcMar>
          </w:tcPr>
          <w:p w14:paraId="7DFE7D33">
            <w:pPr>
              <w:spacing w:before="40" w:after="40" w:line="240" w:lineRule="auto"/>
              <w:jc w:val="left"/>
            </w:pPr>
            <w:r>
              <w:rPr>
                <w:rFonts w:ascii="Calibri" w:hAnsi="Calibri" w:eastAsia="Calibri" w:cs="Calibri"/>
                <w:color w:val="1C2733"/>
                <w:sz w:val="15"/>
                <w:szCs w:val="15"/>
              </w:rPr>
              <w:t>Soft ranks (kept, down-weighted)</w:t>
            </w:r>
          </w:p>
        </w:tc>
        <w:tc>
          <w:tcPr>
            <w:tcW w:w="3400" w:type="dxa"/>
            <w:tcMar>
              <w:top w:w="60" w:type="dxa"/>
              <w:left w:w="90" w:type="dxa"/>
              <w:bottom w:w="60" w:type="dxa"/>
              <w:right w:w="90" w:type="dxa"/>
            </w:tcMar>
          </w:tcPr>
          <w:p w14:paraId="0E88ED33">
            <w:pPr>
              <w:spacing w:before="40" w:after="40" w:line="240" w:lineRule="auto"/>
              <w:jc w:val="left"/>
            </w:pPr>
            <w:r>
              <w:rPr>
                <w:rFonts w:ascii="Calibri" w:hAnsi="Calibri" w:eastAsia="Calibri" w:cs="Calibri"/>
                <w:color w:val="1C2733"/>
                <w:sz w:val="15"/>
                <w:szCs w:val="15"/>
              </w:rPr>
              <w:t>Conflicting_interpretations_of_pathogenicity; Uncertain_significance; variants in regions of known mapping difficulty (MHC, segmental duplications)</w:t>
            </w:r>
          </w:p>
        </w:tc>
        <w:tc>
          <w:tcPr>
            <w:tcW w:w="4924" w:type="dxa"/>
            <w:tcMar>
              <w:top w:w="60" w:type="dxa"/>
              <w:left w:w="90" w:type="dxa"/>
              <w:bottom w:w="60" w:type="dxa"/>
              <w:right w:w="90" w:type="dxa"/>
            </w:tcMar>
          </w:tcPr>
          <w:p w14:paraId="4F272703">
            <w:pPr>
              <w:spacing w:before="40" w:after="40" w:line="240" w:lineRule="auto"/>
              <w:jc w:val="left"/>
            </w:pPr>
            <w:r>
              <w:rPr>
                <w:rFonts w:ascii="Calibri" w:hAnsi="Calibri" w:eastAsia="Calibri" w:cs="Calibri"/>
                <w:color w:val="1C2733"/>
                <w:sz w:val="15"/>
                <w:szCs w:val="15"/>
              </w:rPr>
              <w:t>—</w:t>
            </w:r>
          </w:p>
        </w:tc>
      </w:tr>
    </w:tbl>
    <w:p w14:paraId="112D60B4">
      <w:pPr>
        <w:pStyle w:val="3"/>
        <w:spacing w:before="260" w:after="100"/>
      </w:pPr>
      <w:r>
        <w:rPr>
          <w:rFonts w:ascii="Calibri" w:hAnsi="Calibri" w:eastAsia="Calibri" w:cs="Calibri"/>
          <w:b/>
          <w:bCs/>
          <w:color w:val="1C2733"/>
          <w:sz w:val="24"/>
          <w:szCs w:val="24"/>
        </w:rPr>
        <w:t>2.  AI-assisted workflow</w:t>
      </w:r>
    </w:p>
    <w:p w14:paraId="48FEEC06">
      <w:pPr>
        <w:spacing w:before="60" w:after="100" w:line="276" w:lineRule="auto"/>
        <w:jc w:val="left"/>
      </w:pPr>
      <w:r>
        <w:rPr>
          <w:rFonts w:ascii="Calibri" w:hAnsi="Calibri" w:eastAsia="Calibri" w:cs="Calibri"/>
          <w:color w:val="1C2733"/>
          <w:sz w:val="21"/>
          <w:szCs w:val="21"/>
        </w:rPr>
        <w:t>Plan-first again: thresholds fixed by me, code requested afterwards, with the model asked to attack the thresholds rather than implement them silently.</w:t>
      </w:r>
    </w:p>
    <w:p w14:paraId="12ADC39F">
      <w:pPr>
        <w:shd w:val="clear" w:fill="F4F5F7"/>
        <w:spacing w:before="100" w:after="0" w:line="230" w:lineRule="auto"/>
        <w:ind w:left="140" w:right="140"/>
      </w:pPr>
      <w:r>
        <w:rPr>
          <w:rFonts w:ascii="Consolas" w:hAnsi="Consolas" w:eastAsia="Consolas" w:cs="Consolas"/>
          <w:color w:val="243040"/>
          <w:sz w:val="16"/>
          <w:szCs w:val="16"/>
        </w:rPr>
        <w:t>STAGE 1 -- CRITIQUE MY FILTER PLAN. Do not write code yet.</w:t>
      </w:r>
    </w:p>
    <w:p w14:paraId="7CF3A289">
      <w:pPr>
        <w:shd w:val="clear" w:fill="F4F5F7"/>
        <w:spacing w:before="0" w:after="0" w:line="230" w:lineRule="auto"/>
        <w:ind w:left="140" w:right="140"/>
      </w:pPr>
      <w:r>
        <w:rPr>
          <w:rFonts w:ascii="Consolas" w:hAnsi="Consolas" w:eastAsia="Consolas" w:cs="Consolas"/>
          <w:color w:val="243040"/>
          <w:sz w:val="16"/>
          <w:szCs w:val="16"/>
        </w:rPr>
        <w:t xml:space="preserve"> </w:t>
      </w:r>
    </w:p>
    <w:p w14:paraId="4D89501C">
      <w:pPr>
        <w:shd w:val="clear" w:fill="F4F5F7"/>
        <w:spacing w:before="0" w:after="0" w:line="230" w:lineRule="auto"/>
        <w:ind w:left="140" w:right="140"/>
      </w:pPr>
      <w:r>
        <w:rPr>
          <w:rFonts w:ascii="Consolas" w:hAnsi="Consolas" w:eastAsia="Consolas" w:cs="Consolas"/>
          <w:color w:val="243040"/>
          <w:sz w:val="16"/>
          <w:szCs w:val="16"/>
        </w:rPr>
        <w:t>Premise: one individual, suspected rare penetrant germline disease.</w:t>
      </w:r>
    </w:p>
    <w:p w14:paraId="24A462A2">
      <w:pPr>
        <w:shd w:val="clear" w:fill="F4F5F7"/>
        <w:spacing w:before="0" w:after="0" w:line="230" w:lineRule="auto"/>
        <w:ind w:left="140" w:right="140"/>
      </w:pPr>
      <w:r>
        <w:rPr>
          <w:rFonts w:ascii="Consolas" w:hAnsi="Consolas" w:eastAsia="Consolas" w:cs="Consolas"/>
          <w:color w:val="243040"/>
          <w:sz w:val="16"/>
          <w:szCs w:val="16"/>
        </w:rPr>
        <w:t>Table columns: CHROM POS REF ALT FILTER DP GQ AF GENE CONSEQUENCE</w:t>
      </w:r>
    </w:p>
    <w:p w14:paraId="0E44C1E1">
      <w:pPr>
        <w:shd w:val="clear" w:fill="F4F5F7"/>
        <w:spacing w:before="0" w:after="0" w:line="230" w:lineRule="auto"/>
        <w:ind w:left="140" w:right="140"/>
      </w:pPr>
      <w:r>
        <w:rPr>
          <w:rFonts w:ascii="Consolas" w:hAnsi="Consolas" w:eastAsia="Consolas" w:cs="Consolas"/>
          <w:color w:val="243040"/>
          <w:sz w:val="16"/>
          <w:szCs w:val="16"/>
        </w:rPr>
        <w:t xml:space="preserve">                CLINVAR_SIG CLINVAR_ID NOTE</w:t>
      </w:r>
    </w:p>
    <w:p w14:paraId="69AD06C8">
      <w:pPr>
        <w:shd w:val="clear" w:fill="F4F5F7"/>
        <w:spacing w:before="0" w:after="0" w:line="230" w:lineRule="auto"/>
        <w:ind w:left="140" w:right="140"/>
      </w:pPr>
      <w:r>
        <w:rPr>
          <w:rFonts w:ascii="Consolas" w:hAnsi="Consolas" w:eastAsia="Consolas" w:cs="Consolas"/>
          <w:color w:val="243040"/>
          <w:sz w:val="16"/>
          <w:szCs w:val="16"/>
        </w:rPr>
        <w:t>My filters, in order: FILTER==PASS; DP&gt;=20; GQ&gt;=30; AF&lt;=0.001;</w:t>
      </w:r>
    </w:p>
    <w:p w14:paraId="537DD95B">
      <w:pPr>
        <w:shd w:val="clear" w:fill="F4F5F7"/>
        <w:spacing w:before="0" w:after="0" w:line="230" w:lineRule="auto"/>
        <w:ind w:left="140" w:right="140"/>
      </w:pPr>
      <w:r>
        <w:rPr>
          <w:rFonts w:ascii="Consolas" w:hAnsi="Consolas" w:eastAsia="Consolas" w:cs="Consolas"/>
          <w:color w:val="243040"/>
          <w:sz w:val="16"/>
          <w:szCs w:val="16"/>
        </w:rPr>
        <w:t>consequence in {stop_gained, frameshift, splice_acceptor, splice_donor,</w:t>
      </w:r>
    </w:p>
    <w:p w14:paraId="16F8E503">
      <w:pPr>
        <w:shd w:val="clear" w:fill="F4F5F7"/>
        <w:spacing w:before="0" w:after="0" w:line="230" w:lineRule="auto"/>
        <w:ind w:left="140" w:right="140"/>
      </w:pPr>
      <w:r>
        <w:rPr>
          <w:rFonts w:ascii="Consolas" w:hAnsi="Consolas" w:eastAsia="Consolas" w:cs="Consolas"/>
          <w:color w:val="243040"/>
          <w:sz w:val="16"/>
          <w:szCs w:val="16"/>
        </w:rPr>
        <w:t>missense}; rank by ClinVar label; never filter ON ClinVar.</w:t>
      </w:r>
    </w:p>
    <w:p w14:paraId="252FF8E9">
      <w:pPr>
        <w:shd w:val="clear" w:fill="F4F5F7"/>
        <w:spacing w:before="0" w:after="0" w:line="230" w:lineRule="auto"/>
        <w:ind w:left="140" w:right="140"/>
      </w:pPr>
      <w:r>
        <w:rPr>
          <w:rFonts w:ascii="Consolas" w:hAnsi="Consolas" w:eastAsia="Consolas" w:cs="Consolas"/>
          <w:color w:val="243040"/>
          <w:sz w:val="16"/>
          <w:szCs w:val="16"/>
        </w:rPr>
        <w:t xml:space="preserve"> </w:t>
      </w:r>
    </w:p>
    <w:p w14:paraId="31A62D63">
      <w:pPr>
        <w:shd w:val="clear" w:fill="F4F5F7"/>
        <w:spacing w:before="0" w:after="0" w:line="230" w:lineRule="auto"/>
        <w:ind w:left="140" w:right="140"/>
      </w:pPr>
      <w:r>
        <w:rPr>
          <w:rFonts w:ascii="Consolas" w:hAnsi="Consolas" w:eastAsia="Consolas" w:cs="Consolas"/>
          <w:color w:val="243040"/>
          <w:sz w:val="16"/>
          <w:szCs w:val="16"/>
        </w:rPr>
        <w:t xml:space="preserve">  1. Which threshold is most likely to discard a true positive, and why?</w:t>
      </w:r>
    </w:p>
    <w:p w14:paraId="074EF726">
      <w:pPr>
        <w:shd w:val="clear" w:fill="F4F5F7"/>
        <w:spacing w:before="0" w:after="0" w:line="230" w:lineRule="auto"/>
        <w:ind w:left="140" w:right="140"/>
      </w:pPr>
      <w:r>
        <w:rPr>
          <w:rFonts w:ascii="Consolas" w:hAnsi="Consolas" w:eastAsia="Consolas" w:cs="Consolas"/>
          <w:color w:val="243040"/>
          <w:sz w:val="16"/>
          <w:szCs w:val="16"/>
        </w:rPr>
        <w:t xml:space="preserve">  2. Which columns in this table are ASSERTIONS that I should re-derive</w:t>
      </w:r>
    </w:p>
    <w:p w14:paraId="2A09AC99">
      <w:pPr>
        <w:shd w:val="clear" w:fill="F4F5F7"/>
        <w:spacing w:before="0" w:after="0" w:line="230" w:lineRule="auto"/>
        <w:ind w:left="140" w:right="140"/>
      </w:pPr>
      <w:r>
        <w:rPr>
          <w:rFonts w:ascii="Consolas" w:hAnsi="Consolas" w:eastAsia="Consolas" w:cs="Consolas"/>
          <w:color w:val="243040"/>
          <w:sz w:val="16"/>
          <w:szCs w:val="16"/>
        </w:rPr>
        <w:t xml:space="preserve">     rather than trust? Say exactly how to re-derive each one.</w:t>
      </w:r>
    </w:p>
    <w:p w14:paraId="06F6C6EF">
      <w:pPr>
        <w:shd w:val="clear" w:fill="F4F5F7"/>
        <w:spacing w:before="0" w:after="0" w:line="230" w:lineRule="auto"/>
        <w:ind w:left="140" w:right="140"/>
      </w:pPr>
      <w:r>
        <w:rPr>
          <w:rFonts w:ascii="Consolas" w:hAnsi="Consolas" w:eastAsia="Consolas" w:cs="Consolas"/>
          <w:color w:val="243040"/>
          <w:sz w:val="16"/>
          <w:szCs w:val="16"/>
        </w:rPr>
        <w:t xml:space="preserve">  3. What information is MISSING from these columns that a real</w:t>
      </w:r>
    </w:p>
    <w:p w14:paraId="3E0FC883">
      <w:pPr>
        <w:shd w:val="clear" w:fill="F4F5F7"/>
        <w:spacing w:before="0" w:after="0" w:line="230" w:lineRule="auto"/>
        <w:ind w:left="140" w:right="140"/>
      </w:pPr>
      <w:r>
        <w:rPr>
          <w:rFonts w:ascii="Consolas" w:hAnsi="Consolas" w:eastAsia="Consolas" w:cs="Consolas"/>
          <w:color w:val="243040"/>
          <w:sz w:val="16"/>
          <w:szCs w:val="16"/>
        </w:rPr>
        <w:t xml:space="preserve">     prioritisation would require?</w:t>
      </w:r>
    </w:p>
    <w:p w14:paraId="1E8C0DC5">
      <w:pPr>
        <w:shd w:val="clear" w:fill="F4F5F7"/>
        <w:spacing w:before="0" w:after="0" w:line="230" w:lineRule="auto"/>
        <w:ind w:left="140" w:right="140"/>
      </w:pPr>
      <w:r>
        <w:rPr>
          <w:rFonts w:ascii="Consolas" w:hAnsi="Consolas" w:eastAsia="Consolas" w:cs="Consolas"/>
          <w:color w:val="243040"/>
          <w:sz w:val="16"/>
          <w:szCs w:val="16"/>
        </w:rPr>
        <w:t xml:space="preserve">  4. Is my ordering of filters optimal for cost and information?</w:t>
      </w:r>
    </w:p>
    <w:p w14:paraId="0BEEF5CB">
      <w:pPr>
        <w:shd w:val="clear" w:fill="F4F5F7"/>
        <w:spacing w:before="0" w:after="0" w:line="230" w:lineRule="auto"/>
        <w:ind w:left="140" w:right="140"/>
      </w:pPr>
      <w:r>
        <w:rPr>
          <w:rFonts w:ascii="Consolas" w:hAnsi="Consolas" w:eastAsia="Consolas" w:cs="Consolas"/>
          <w:color w:val="243040"/>
          <w:sz w:val="16"/>
          <w:szCs w:val="16"/>
        </w:rPr>
        <w:t xml:space="preserve"> </w:t>
      </w:r>
    </w:p>
    <w:p w14:paraId="71502414">
      <w:pPr>
        <w:shd w:val="clear" w:fill="F4F5F7"/>
        <w:spacing w:before="0" w:after="0" w:line="230" w:lineRule="auto"/>
        <w:ind w:left="140" w:right="140"/>
      </w:pPr>
      <w:r>
        <w:rPr>
          <w:rFonts w:ascii="Consolas" w:hAnsi="Consolas" w:eastAsia="Consolas" w:cs="Consolas"/>
          <w:color w:val="243040"/>
          <w:sz w:val="16"/>
          <w:szCs w:val="16"/>
        </w:rPr>
        <w:t>STAGE 2 -- then write R (readr/dplyr) implementing MY thresholds, with the</w:t>
      </w:r>
    </w:p>
    <w:p w14:paraId="7A54589E">
      <w:pPr>
        <w:shd w:val="clear" w:fill="F4F5F7"/>
        <w:spacing w:before="0" w:after="0" w:line="230" w:lineRule="auto"/>
        <w:ind w:left="140" w:right="140"/>
      </w:pPr>
      <w:r>
        <w:rPr>
          <w:rFonts w:ascii="Consolas" w:hAnsi="Consolas" w:eastAsia="Consolas" w:cs="Consolas"/>
          <w:color w:val="243040"/>
          <w:sz w:val="16"/>
          <w:szCs w:val="16"/>
        </w:rPr>
        <w:t>cascade count after each step and the reason each variant was dropped.</w:t>
      </w:r>
    </w:p>
    <w:p w14:paraId="7A5C21E1">
      <w:pPr>
        <w:shd w:val="clear" w:fill="F4F5F7"/>
        <w:spacing w:before="0" w:after="0" w:line="230" w:lineRule="auto"/>
        <w:ind w:left="140" w:right="140"/>
      </w:pPr>
      <w:r>
        <w:rPr>
          <w:rFonts w:ascii="Consolas" w:hAnsi="Consolas" w:eastAsia="Consolas" w:cs="Consolas"/>
          <w:color w:val="243040"/>
          <w:sz w:val="16"/>
          <w:szCs w:val="16"/>
        </w:rPr>
        <w:t xml:space="preserve"> </w:t>
      </w:r>
    </w:p>
    <w:p w14:paraId="57D60382">
      <w:pPr>
        <w:shd w:val="clear" w:fill="F4F5F7"/>
        <w:spacing w:before="0" w:after="0" w:line="230" w:lineRule="auto"/>
        <w:ind w:left="140" w:right="140"/>
      </w:pPr>
      <w:r>
        <w:rPr>
          <w:rFonts w:ascii="Consolas" w:hAnsi="Consolas" w:eastAsia="Consolas" w:cs="Consolas"/>
          <w:color w:val="243040"/>
          <w:sz w:val="16"/>
          <w:szCs w:val="16"/>
        </w:rPr>
        <w:t>STAGE 3 -- after I give you my ranking, argue the strongest case that my</w:t>
      </w:r>
    </w:p>
    <w:p w14:paraId="5DFE1CA3">
      <w:pPr>
        <w:shd w:val="clear" w:fill="F4F5F7"/>
        <w:spacing w:before="0" w:after="120" w:line="230" w:lineRule="auto"/>
        <w:ind w:left="140" w:right="140"/>
      </w:pPr>
      <w:r>
        <w:rPr>
          <w:rFonts w:ascii="Consolas" w:hAnsi="Consolas" w:eastAsia="Consolas" w:cs="Consolas"/>
          <w:color w:val="243040"/>
          <w:sz w:val="16"/>
          <w:szCs w:val="16"/>
        </w:rPr>
        <w:t>top variant is a FALSE LEAD. Be specific and adversarial.</w:t>
      </w:r>
    </w:p>
    <w:p w14:paraId="5014732F">
      <w:pPr>
        <w:spacing w:before="60" w:after="100" w:line="276" w:lineRule="auto"/>
        <w:jc w:val="left"/>
      </w:pPr>
      <w:r>
        <w:rPr>
          <w:rFonts w:ascii="Calibri" w:hAnsi="Calibri" w:eastAsia="Calibri" w:cs="Calibri"/>
          <w:color w:val="1C2733"/>
          <w:sz w:val="21"/>
          <w:szCs w:val="21"/>
        </w:rPr>
        <w:t>Answer 2 is what redirected the whole question. The model named CONSEQUENCE, CLINVAR_SIG and CLINVAR_ID as assertions to be re-derived from the coordinates — and when I actually did that, three of them turned out to be wrong. Answer 3 named the missing column that matters most: allelic depth / variant allele fraction, without which germline heterozygosity cannot be separated from somatic mosaicism.</w:t>
      </w:r>
    </w:p>
    <w:p w14:paraId="248B88D8">
      <w:pPr>
        <w:spacing w:before="60" w:after="100" w:line="276" w:lineRule="auto"/>
        <w:jc w:val="left"/>
      </w:pPr>
      <w:r>
        <w:rPr>
          <w:rFonts w:ascii="Calibri" w:hAnsi="Calibri" w:eastAsia="Calibri" w:cs="Calibri"/>
          <w:color w:val="1C2733"/>
          <w:sz w:val="21"/>
          <w:szCs w:val="21"/>
        </w:rPr>
        <w:t>The completed R filter script (the supplied starter/q4_filter_starter.R with my thresholds filled in) is in Appendix B, together with the exact console output of the run. R was not available in my execution environment, so the identical logic was executed as a line-by-line transcription in Python; both the R script and the executed transcription are included so the result can be reproduced either way.</w:t>
      </w:r>
    </w:p>
    <w:p w14:paraId="5FFBDCFA">
      <w:pPr>
        <w:pStyle w:val="3"/>
        <w:spacing w:before="260" w:after="100"/>
      </w:pPr>
      <w:r>
        <w:rPr>
          <w:rFonts w:ascii="Calibri" w:hAnsi="Calibri" w:eastAsia="Calibri" w:cs="Calibri"/>
          <w:b/>
          <w:bCs/>
          <w:color w:val="1C2733"/>
          <w:sz w:val="24"/>
          <w:szCs w:val="24"/>
        </w:rPr>
        <w:t>3.  Verification</w:t>
      </w:r>
    </w:p>
    <w:p w14:paraId="47F99D6F">
      <w:pPr>
        <w:pStyle w:val="4"/>
        <w:spacing w:before="200" w:after="80"/>
      </w:pPr>
      <w:r>
        <w:rPr>
          <w:rFonts w:ascii="Calibri" w:hAnsi="Calibri" w:eastAsia="Calibri" w:cs="Calibri"/>
          <w:b/>
          <w:bCs/>
          <w:color w:val="4A7C3F"/>
          <w:sz w:val="21"/>
          <w:szCs w:val="21"/>
        </w:rPr>
        <w:t>3.1  Filter cascade as executed</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2600"/>
        <w:gridCol w:w="1200"/>
        <w:gridCol w:w="6424"/>
      </w:tblGrid>
      <w:tr w14:paraId="7FC7D23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2600" w:type="dxa"/>
            <w:shd w:val="clear" w:color="auto" w:fill="DCE7F1"/>
            <w:tcMar>
              <w:top w:w="60" w:type="dxa"/>
              <w:left w:w="90" w:type="dxa"/>
              <w:bottom w:w="60" w:type="dxa"/>
              <w:right w:w="90" w:type="dxa"/>
            </w:tcMar>
          </w:tcPr>
          <w:p w14:paraId="0383EEDE">
            <w:pPr>
              <w:spacing w:before="40" w:after="40" w:line="240" w:lineRule="auto"/>
              <w:jc w:val="left"/>
            </w:pPr>
            <w:r>
              <w:rPr>
                <w:rFonts w:ascii="Calibri" w:hAnsi="Calibri" w:eastAsia="Calibri" w:cs="Calibri"/>
                <w:b/>
                <w:bCs/>
                <w:color w:val="1C2733"/>
                <w:sz w:val="16"/>
                <w:szCs w:val="16"/>
              </w:rPr>
              <w:t>Step</w:t>
            </w:r>
          </w:p>
        </w:tc>
        <w:tc>
          <w:tcPr>
            <w:tcW w:w="1200" w:type="dxa"/>
            <w:shd w:val="clear" w:color="auto" w:fill="DCE7F1"/>
            <w:tcMar>
              <w:top w:w="60" w:type="dxa"/>
              <w:left w:w="90" w:type="dxa"/>
              <w:bottom w:w="60" w:type="dxa"/>
              <w:right w:w="90" w:type="dxa"/>
            </w:tcMar>
          </w:tcPr>
          <w:p w14:paraId="6F0751DA">
            <w:pPr>
              <w:spacing w:before="40" w:after="40" w:line="240" w:lineRule="auto"/>
              <w:jc w:val="left"/>
            </w:pPr>
            <w:r>
              <w:rPr>
                <w:rFonts w:ascii="Calibri" w:hAnsi="Calibri" w:eastAsia="Calibri" w:cs="Calibri"/>
                <w:b/>
                <w:bCs/>
                <w:color w:val="1C2733"/>
                <w:sz w:val="16"/>
                <w:szCs w:val="16"/>
              </w:rPr>
              <w:t>n remaining</w:t>
            </w:r>
          </w:p>
        </w:tc>
        <w:tc>
          <w:tcPr>
            <w:tcW w:w="6424" w:type="dxa"/>
            <w:shd w:val="clear" w:color="auto" w:fill="DCE7F1"/>
            <w:tcMar>
              <w:top w:w="60" w:type="dxa"/>
              <w:left w:w="90" w:type="dxa"/>
              <w:bottom w:w="60" w:type="dxa"/>
              <w:right w:w="90" w:type="dxa"/>
            </w:tcMar>
          </w:tcPr>
          <w:p w14:paraId="345A850F">
            <w:pPr>
              <w:spacing w:before="40" w:after="40" w:line="240" w:lineRule="auto"/>
              <w:jc w:val="left"/>
            </w:pPr>
            <w:r>
              <w:rPr>
                <w:rFonts w:ascii="Calibri" w:hAnsi="Calibri" w:eastAsia="Calibri" w:cs="Calibri"/>
                <w:b/>
                <w:bCs/>
                <w:color w:val="1C2733"/>
                <w:sz w:val="16"/>
                <w:szCs w:val="16"/>
              </w:rPr>
              <w:t>Excluded, with reason</w:t>
            </w:r>
          </w:p>
        </w:tc>
      </w:tr>
      <w:tr w14:paraId="7C12166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25DF702D">
            <w:pPr>
              <w:spacing w:before="40" w:after="40" w:line="240" w:lineRule="auto"/>
              <w:jc w:val="left"/>
            </w:pPr>
            <w:r>
              <w:rPr>
                <w:rFonts w:ascii="Calibri" w:hAnsi="Calibri" w:eastAsia="Calibri" w:cs="Calibri"/>
                <w:color w:val="1C2733"/>
                <w:sz w:val="16"/>
                <w:szCs w:val="16"/>
              </w:rPr>
              <w:t>Input</w:t>
            </w:r>
          </w:p>
        </w:tc>
        <w:tc>
          <w:tcPr>
            <w:tcW w:w="1200" w:type="dxa"/>
            <w:tcMar>
              <w:top w:w="60" w:type="dxa"/>
              <w:left w:w="90" w:type="dxa"/>
              <w:bottom w:w="60" w:type="dxa"/>
              <w:right w:w="90" w:type="dxa"/>
            </w:tcMar>
          </w:tcPr>
          <w:p w14:paraId="17480D46">
            <w:pPr>
              <w:spacing w:before="40" w:after="40" w:line="240" w:lineRule="auto"/>
              <w:jc w:val="left"/>
            </w:pPr>
            <w:r>
              <w:rPr>
                <w:rFonts w:ascii="Calibri" w:hAnsi="Calibri" w:eastAsia="Calibri" w:cs="Calibri"/>
                <w:color w:val="1C2733"/>
                <w:sz w:val="16"/>
                <w:szCs w:val="16"/>
              </w:rPr>
              <w:t>12</w:t>
            </w:r>
          </w:p>
        </w:tc>
        <w:tc>
          <w:tcPr>
            <w:tcW w:w="6424" w:type="dxa"/>
            <w:tcMar>
              <w:top w:w="60" w:type="dxa"/>
              <w:left w:w="90" w:type="dxa"/>
              <w:bottom w:w="60" w:type="dxa"/>
              <w:right w:w="90" w:type="dxa"/>
            </w:tcMar>
          </w:tcPr>
          <w:p w14:paraId="65B6738D">
            <w:pPr>
              <w:spacing w:before="40" w:after="40" w:line="240" w:lineRule="auto"/>
              <w:jc w:val="left"/>
            </w:pPr>
            <w:r>
              <w:rPr>
                <w:rFonts w:ascii="Calibri" w:hAnsi="Calibri" w:eastAsia="Calibri" w:cs="Calibri"/>
                <w:color w:val="1C2733"/>
                <w:sz w:val="16"/>
                <w:szCs w:val="16"/>
              </w:rPr>
              <w:t>—</w:t>
            </w:r>
          </w:p>
        </w:tc>
      </w:tr>
      <w:tr w14:paraId="444161C2">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718D64C8">
            <w:pPr>
              <w:spacing w:before="40" w:after="40" w:line="240" w:lineRule="auto"/>
              <w:jc w:val="left"/>
            </w:pPr>
            <w:r>
              <w:rPr>
                <w:rFonts w:ascii="Calibri" w:hAnsi="Calibri" w:eastAsia="Calibri" w:cs="Calibri"/>
                <w:color w:val="1C2733"/>
                <w:sz w:val="16"/>
                <w:szCs w:val="16"/>
              </w:rPr>
              <w:t>FILTER == PASS</w:t>
            </w:r>
          </w:p>
        </w:tc>
        <w:tc>
          <w:tcPr>
            <w:tcW w:w="1200" w:type="dxa"/>
            <w:shd w:val="clear" w:color="auto" w:fill="F6F8FA"/>
            <w:tcMar>
              <w:top w:w="60" w:type="dxa"/>
              <w:left w:w="90" w:type="dxa"/>
              <w:bottom w:w="60" w:type="dxa"/>
              <w:right w:w="90" w:type="dxa"/>
            </w:tcMar>
          </w:tcPr>
          <w:p w14:paraId="43E6184E">
            <w:pPr>
              <w:spacing w:before="40" w:after="40" w:line="240" w:lineRule="auto"/>
              <w:jc w:val="left"/>
            </w:pPr>
            <w:r>
              <w:rPr>
                <w:rFonts w:ascii="Calibri" w:hAnsi="Calibri" w:eastAsia="Calibri" w:cs="Calibri"/>
                <w:color w:val="1C2733"/>
                <w:sz w:val="16"/>
                <w:szCs w:val="16"/>
              </w:rPr>
              <w:t>10</w:t>
            </w:r>
          </w:p>
        </w:tc>
        <w:tc>
          <w:tcPr>
            <w:tcW w:w="6424" w:type="dxa"/>
            <w:shd w:val="clear" w:color="auto" w:fill="F6F8FA"/>
            <w:tcMar>
              <w:top w:w="60" w:type="dxa"/>
              <w:left w:w="90" w:type="dxa"/>
              <w:bottom w:w="60" w:type="dxa"/>
              <w:right w:w="90" w:type="dxa"/>
            </w:tcMar>
          </w:tcPr>
          <w:p w14:paraId="2ED9A106">
            <w:pPr>
              <w:spacing w:before="40" w:after="40" w:line="240" w:lineRule="auto"/>
              <w:jc w:val="left"/>
            </w:pPr>
            <w:r>
              <w:rPr>
                <w:rFonts w:ascii="Calibri" w:hAnsi="Calibri" w:eastAsia="Calibri" w:cs="Calibri"/>
                <w:color w:val="1C2733"/>
                <w:sz w:val="16"/>
                <w:szCs w:val="16"/>
              </w:rPr>
              <w:t>MSH2 chr2:47,641,560 (LowQual) — a stop_gained labelled Pathogenic, which is exactly the kind of variant a quality filter exists to catch before it becomes a finding; HLA-A chr6:29,942,857 (FAIL) — and independently untrustworthy, since short reads map poorly across the MHC.</w:t>
            </w:r>
          </w:p>
        </w:tc>
      </w:tr>
      <w:tr w14:paraId="1C46115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00C28160">
            <w:pPr>
              <w:spacing w:before="40" w:after="40" w:line="240" w:lineRule="auto"/>
              <w:jc w:val="left"/>
            </w:pPr>
            <w:r>
              <w:rPr>
                <w:rFonts w:ascii="Calibri" w:hAnsi="Calibri" w:eastAsia="Calibri" w:cs="Calibri"/>
                <w:color w:val="1C2733"/>
                <w:sz w:val="16"/>
                <w:szCs w:val="16"/>
              </w:rPr>
              <w:t>DP ≥ 20 and GQ ≥ 30</w:t>
            </w:r>
          </w:p>
        </w:tc>
        <w:tc>
          <w:tcPr>
            <w:tcW w:w="1200" w:type="dxa"/>
            <w:tcMar>
              <w:top w:w="60" w:type="dxa"/>
              <w:left w:w="90" w:type="dxa"/>
              <w:bottom w:w="60" w:type="dxa"/>
              <w:right w:w="90" w:type="dxa"/>
            </w:tcMar>
          </w:tcPr>
          <w:p w14:paraId="5FE5F56C">
            <w:pPr>
              <w:spacing w:before="40" w:after="40" w:line="240" w:lineRule="auto"/>
              <w:jc w:val="left"/>
            </w:pPr>
            <w:r>
              <w:rPr>
                <w:rFonts w:ascii="Calibri" w:hAnsi="Calibri" w:eastAsia="Calibri" w:cs="Calibri"/>
                <w:color w:val="1C2733"/>
                <w:sz w:val="16"/>
                <w:szCs w:val="16"/>
              </w:rPr>
              <w:t>9</w:t>
            </w:r>
          </w:p>
        </w:tc>
        <w:tc>
          <w:tcPr>
            <w:tcW w:w="6424" w:type="dxa"/>
            <w:tcMar>
              <w:top w:w="60" w:type="dxa"/>
              <w:left w:w="90" w:type="dxa"/>
              <w:bottom w:w="60" w:type="dxa"/>
              <w:right w:w="90" w:type="dxa"/>
            </w:tcMar>
          </w:tcPr>
          <w:p w14:paraId="7B4DAA4F">
            <w:pPr>
              <w:spacing w:before="40" w:after="40" w:line="240" w:lineRule="auto"/>
              <w:jc w:val="left"/>
            </w:pPr>
            <w:r>
              <w:rPr>
                <w:rFonts w:ascii="Calibri" w:hAnsi="Calibri" w:eastAsia="Calibri" w:cs="Calibri"/>
                <w:color w:val="1C2733"/>
                <w:sz w:val="16"/>
                <w:szCs w:val="16"/>
              </w:rPr>
              <w:t>MECP2 chrX:153,870,000 (DP = 5, GQ = 20) — a frameshift called on five reads. Note this one passed FILTER, so depth and genotype quality had to be filtered separately from FILTER to catch it.</w:t>
            </w:r>
          </w:p>
        </w:tc>
      </w:tr>
      <w:tr w14:paraId="47D57612">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674538CF">
            <w:pPr>
              <w:spacing w:before="40" w:after="40" w:line="240" w:lineRule="auto"/>
              <w:jc w:val="left"/>
            </w:pPr>
            <w:r>
              <w:rPr>
                <w:rFonts w:ascii="Calibri" w:hAnsi="Calibri" w:eastAsia="Calibri" w:cs="Calibri"/>
                <w:color w:val="1C2733"/>
                <w:sz w:val="16"/>
                <w:szCs w:val="16"/>
              </w:rPr>
              <w:t>AF ≤ 0.001</w:t>
            </w:r>
          </w:p>
        </w:tc>
        <w:tc>
          <w:tcPr>
            <w:tcW w:w="1200" w:type="dxa"/>
            <w:shd w:val="clear" w:color="auto" w:fill="F6F8FA"/>
            <w:tcMar>
              <w:top w:w="60" w:type="dxa"/>
              <w:left w:w="90" w:type="dxa"/>
              <w:bottom w:w="60" w:type="dxa"/>
              <w:right w:w="90" w:type="dxa"/>
            </w:tcMar>
          </w:tcPr>
          <w:p w14:paraId="1DD496C8">
            <w:pPr>
              <w:spacing w:before="40" w:after="40" w:line="240" w:lineRule="auto"/>
              <w:jc w:val="left"/>
            </w:pPr>
            <w:r>
              <w:rPr>
                <w:rFonts w:ascii="Calibri" w:hAnsi="Calibri" w:eastAsia="Calibri" w:cs="Calibri"/>
                <w:color w:val="1C2733"/>
                <w:sz w:val="16"/>
                <w:szCs w:val="16"/>
              </w:rPr>
              <w:t>6</w:t>
            </w:r>
          </w:p>
        </w:tc>
        <w:tc>
          <w:tcPr>
            <w:tcW w:w="6424" w:type="dxa"/>
            <w:shd w:val="clear" w:color="auto" w:fill="F6F8FA"/>
            <w:tcMar>
              <w:top w:w="60" w:type="dxa"/>
              <w:left w:w="90" w:type="dxa"/>
              <w:bottom w:w="60" w:type="dxa"/>
              <w:right w:w="90" w:type="dxa"/>
            </w:tcMar>
          </w:tcPr>
          <w:p w14:paraId="4FFDADE9">
            <w:pPr>
              <w:spacing w:before="40" w:after="40" w:line="240" w:lineRule="auto"/>
              <w:jc w:val="left"/>
            </w:pPr>
            <w:r>
              <w:rPr>
                <w:rFonts w:ascii="Calibri" w:hAnsi="Calibri" w:eastAsia="Calibri" w:cs="Calibri"/>
                <w:color w:val="1C2733"/>
                <w:sz w:val="16"/>
                <w:szCs w:val="16"/>
              </w:rPr>
              <w:t>F5 chr1:169,519,049 (AF 0.42); ATM chr11:108,323,000 (AF 0.18); chr4:88,000,000 intronic (AF 0.35) — all far too common for a penetrant rare-disease allele.</w:t>
            </w:r>
          </w:p>
        </w:tc>
      </w:tr>
      <w:tr w14:paraId="1F4439F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54D0334B">
            <w:pPr>
              <w:spacing w:before="40" w:after="40" w:line="240" w:lineRule="auto"/>
              <w:jc w:val="left"/>
            </w:pPr>
            <w:r>
              <w:rPr>
                <w:rFonts w:ascii="Calibri" w:hAnsi="Calibri" w:eastAsia="Calibri" w:cs="Calibri"/>
                <w:color w:val="1C2733"/>
                <w:sz w:val="16"/>
                <w:szCs w:val="16"/>
              </w:rPr>
              <w:t>Protein- or splice-impacting consequence</w:t>
            </w:r>
          </w:p>
        </w:tc>
        <w:tc>
          <w:tcPr>
            <w:tcW w:w="1200" w:type="dxa"/>
            <w:tcMar>
              <w:top w:w="60" w:type="dxa"/>
              <w:left w:w="90" w:type="dxa"/>
              <w:bottom w:w="60" w:type="dxa"/>
              <w:right w:w="90" w:type="dxa"/>
            </w:tcMar>
          </w:tcPr>
          <w:p w14:paraId="6B6DAB0A">
            <w:pPr>
              <w:spacing w:before="40" w:after="40" w:line="240" w:lineRule="auto"/>
              <w:jc w:val="left"/>
            </w:pPr>
            <w:r>
              <w:rPr>
                <w:rFonts w:ascii="Calibri" w:hAnsi="Calibri" w:eastAsia="Calibri" w:cs="Calibri"/>
                <w:color w:val="1C2733"/>
                <w:sz w:val="16"/>
                <w:szCs w:val="16"/>
              </w:rPr>
              <w:t>4</w:t>
            </w:r>
          </w:p>
        </w:tc>
        <w:tc>
          <w:tcPr>
            <w:tcW w:w="6424" w:type="dxa"/>
            <w:tcMar>
              <w:top w:w="60" w:type="dxa"/>
              <w:left w:w="90" w:type="dxa"/>
              <w:bottom w:w="60" w:type="dxa"/>
              <w:right w:w="90" w:type="dxa"/>
            </w:tcMar>
          </w:tcPr>
          <w:p w14:paraId="6606B361">
            <w:pPr>
              <w:spacing w:before="40" w:after="40" w:line="240" w:lineRule="auto"/>
              <w:jc w:val="left"/>
            </w:pPr>
            <w:r>
              <w:rPr>
                <w:rFonts w:ascii="Calibri" w:hAnsi="Calibri" w:eastAsia="Calibri" w:cs="Calibri"/>
                <w:color w:val="1C2733"/>
                <w:sz w:val="16"/>
                <w:szCs w:val="16"/>
              </w:rPr>
              <w:t>CFTR chr7:117,199,644 synonymous; chr8:128,750,000 intergenic with no gene assigned — moved to the non-coding queue rather than discarded.</w:t>
            </w:r>
          </w:p>
        </w:tc>
      </w:tr>
    </w:tbl>
    <w:p w14:paraId="4E338861">
      <w:pPr>
        <w:spacing w:before="60" w:after="100" w:line="276" w:lineRule="auto"/>
        <w:jc w:val="left"/>
      </w:pPr>
      <w:r>
        <w:rPr>
          <w:rFonts w:ascii="Calibri" w:hAnsi="Calibri" w:eastAsia="Calibri" w:cs="Calibri"/>
          <w:b/>
          <w:bCs/>
          <w:color w:val="1C2733"/>
          <w:sz w:val="21"/>
          <w:szCs w:val="21"/>
        </w:rPr>
        <w:t>Shortlist (n = 4), ordered by ClinVar label then AF:</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800"/>
        <w:gridCol w:w="1300"/>
        <w:gridCol w:w="900"/>
        <w:gridCol w:w="600"/>
        <w:gridCol w:w="600"/>
        <w:gridCol w:w="900"/>
        <w:gridCol w:w="900"/>
        <w:gridCol w:w="2300"/>
        <w:gridCol w:w="1924"/>
      </w:tblGrid>
      <w:tr w14:paraId="7A4AC074">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800" w:type="dxa"/>
            <w:shd w:val="clear" w:color="auto" w:fill="DCE7F1"/>
            <w:tcMar>
              <w:top w:w="60" w:type="dxa"/>
              <w:left w:w="90" w:type="dxa"/>
              <w:bottom w:w="60" w:type="dxa"/>
              <w:right w:w="90" w:type="dxa"/>
            </w:tcMar>
          </w:tcPr>
          <w:p w14:paraId="0ADC380B">
            <w:pPr>
              <w:spacing w:before="40" w:after="40" w:line="240" w:lineRule="auto"/>
              <w:jc w:val="left"/>
            </w:pPr>
            <w:r>
              <w:rPr>
                <w:rFonts w:ascii="Calibri" w:hAnsi="Calibri" w:eastAsia="Calibri" w:cs="Calibri"/>
                <w:b/>
                <w:bCs/>
                <w:color w:val="1C2733"/>
                <w:sz w:val="15"/>
                <w:szCs w:val="15"/>
              </w:rPr>
              <w:t>CHROM</w:t>
            </w:r>
          </w:p>
        </w:tc>
        <w:tc>
          <w:tcPr>
            <w:tcW w:w="1300" w:type="dxa"/>
            <w:shd w:val="clear" w:color="auto" w:fill="DCE7F1"/>
            <w:tcMar>
              <w:top w:w="60" w:type="dxa"/>
              <w:left w:w="90" w:type="dxa"/>
              <w:bottom w:w="60" w:type="dxa"/>
              <w:right w:w="90" w:type="dxa"/>
            </w:tcMar>
          </w:tcPr>
          <w:p w14:paraId="1D85982C">
            <w:pPr>
              <w:spacing w:before="40" w:after="40" w:line="240" w:lineRule="auto"/>
              <w:jc w:val="left"/>
            </w:pPr>
            <w:r>
              <w:rPr>
                <w:rFonts w:ascii="Calibri" w:hAnsi="Calibri" w:eastAsia="Calibri" w:cs="Calibri"/>
                <w:b/>
                <w:bCs/>
                <w:color w:val="1C2733"/>
                <w:sz w:val="15"/>
                <w:szCs w:val="15"/>
              </w:rPr>
              <w:t>POS</w:t>
            </w:r>
          </w:p>
        </w:tc>
        <w:tc>
          <w:tcPr>
            <w:tcW w:w="900" w:type="dxa"/>
            <w:shd w:val="clear" w:color="auto" w:fill="DCE7F1"/>
            <w:tcMar>
              <w:top w:w="60" w:type="dxa"/>
              <w:left w:w="90" w:type="dxa"/>
              <w:bottom w:w="60" w:type="dxa"/>
              <w:right w:w="90" w:type="dxa"/>
            </w:tcMar>
          </w:tcPr>
          <w:p w14:paraId="1ACA9333">
            <w:pPr>
              <w:spacing w:before="40" w:after="40" w:line="240" w:lineRule="auto"/>
              <w:jc w:val="left"/>
            </w:pPr>
            <w:r>
              <w:rPr>
                <w:rFonts w:ascii="Calibri" w:hAnsi="Calibri" w:eastAsia="Calibri" w:cs="Calibri"/>
                <w:b/>
                <w:bCs/>
                <w:color w:val="1C2733"/>
                <w:sz w:val="15"/>
                <w:szCs w:val="15"/>
              </w:rPr>
              <w:t>REF&gt;ALT</w:t>
            </w:r>
          </w:p>
        </w:tc>
        <w:tc>
          <w:tcPr>
            <w:tcW w:w="600" w:type="dxa"/>
            <w:shd w:val="clear" w:color="auto" w:fill="DCE7F1"/>
            <w:tcMar>
              <w:top w:w="60" w:type="dxa"/>
              <w:left w:w="90" w:type="dxa"/>
              <w:bottom w:w="60" w:type="dxa"/>
              <w:right w:w="90" w:type="dxa"/>
            </w:tcMar>
          </w:tcPr>
          <w:p w14:paraId="196A5561">
            <w:pPr>
              <w:spacing w:before="40" w:after="40" w:line="240" w:lineRule="auto"/>
              <w:jc w:val="left"/>
            </w:pPr>
            <w:r>
              <w:rPr>
                <w:rFonts w:ascii="Calibri" w:hAnsi="Calibri" w:eastAsia="Calibri" w:cs="Calibri"/>
                <w:b/>
                <w:bCs/>
                <w:color w:val="1C2733"/>
                <w:sz w:val="15"/>
                <w:szCs w:val="15"/>
              </w:rPr>
              <w:t>DP</w:t>
            </w:r>
          </w:p>
        </w:tc>
        <w:tc>
          <w:tcPr>
            <w:tcW w:w="600" w:type="dxa"/>
            <w:shd w:val="clear" w:color="auto" w:fill="DCE7F1"/>
            <w:tcMar>
              <w:top w:w="60" w:type="dxa"/>
              <w:left w:w="90" w:type="dxa"/>
              <w:bottom w:w="60" w:type="dxa"/>
              <w:right w:w="90" w:type="dxa"/>
            </w:tcMar>
          </w:tcPr>
          <w:p w14:paraId="032F3008">
            <w:pPr>
              <w:spacing w:before="40" w:after="40" w:line="240" w:lineRule="auto"/>
              <w:jc w:val="left"/>
            </w:pPr>
            <w:r>
              <w:rPr>
                <w:rFonts w:ascii="Calibri" w:hAnsi="Calibri" w:eastAsia="Calibri" w:cs="Calibri"/>
                <w:b/>
                <w:bCs/>
                <w:color w:val="1C2733"/>
                <w:sz w:val="15"/>
                <w:szCs w:val="15"/>
              </w:rPr>
              <w:t>GQ</w:t>
            </w:r>
          </w:p>
        </w:tc>
        <w:tc>
          <w:tcPr>
            <w:tcW w:w="900" w:type="dxa"/>
            <w:shd w:val="clear" w:color="auto" w:fill="DCE7F1"/>
            <w:tcMar>
              <w:top w:w="60" w:type="dxa"/>
              <w:left w:w="90" w:type="dxa"/>
              <w:bottom w:w="60" w:type="dxa"/>
              <w:right w:w="90" w:type="dxa"/>
            </w:tcMar>
          </w:tcPr>
          <w:p w14:paraId="3CD83EB4">
            <w:pPr>
              <w:spacing w:before="40" w:after="40" w:line="240" w:lineRule="auto"/>
              <w:jc w:val="left"/>
            </w:pPr>
            <w:r>
              <w:rPr>
                <w:rFonts w:ascii="Calibri" w:hAnsi="Calibri" w:eastAsia="Calibri" w:cs="Calibri"/>
                <w:b/>
                <w:bCs/>
                <w:color w:val="1C2733"/>
                <w:sz w:val="15"/>
                <w:szCs w:val="15"/>
              </w:rPr>
              <w:t>AF</w:t>
            </w:r>
          </w:p>
        </w:tc>
        <w:tc>
          <w:tcPr>
            <w:tcW w:w="900" w:type="dxa"/>
            <w:shd w:val="clear" w:color="auto" w:fill="DCE7F1"/>
            <w:tcMar>
              <w:top w:w="60" w:type="dxa"/>
              <w:left w:w="90" w:type="dxa"/>
              <w:bottom w:w="60" w:type="dxa"/>
              <w:right w:w="90" w:type="dxa"/>
            </w:tcMar>
          </w:tcPr>
          <w:p w14:paraId="10052CFC">
            <w:pPr>
              <w:spacing w:before="40" w:after="40" w:line="240" w:lineRule="auto"/>
              <w:jc w:val="left"/>
            </w:pPr>
            <w:r>
              <w:rPr>
                <w:rFonts w:ascii="Calibri" w:hAnsi="Calibri" w:eastAsia="Calibri" w:cs="Calibri"/>
                <w:b/>
                <w:bCs/>
                <w:color w:val="1C2733"/>
                <w:sz w:val="15"/>
                <w:szCs w:val="15"/>
              </w:rPr>
              <w:t>GENE</w:t>
            </w:r>
          </w:p>
        </w:tc>
        <w:tc>
          <w:tcPr>
            <w:tcW w:w="2300" w:type="dxa"/>
            <w:shd w:val="clear" w:color="auto" w:fill="DCE7F1"/>
            <w:tcMar>
              <w:top w:w="60" w:type="dxa"/>
              <w:left w:w="90" w:type="dxa"/>
              <w:bottom w:w="60" w:type="dxa"/>
              <w:right w:w="90" w:type="dxa"/>
            </w:tcMar>
          </w:tcPr>
          <w:p w14:paraId="43953102">
            <w:pPr>
              <w:spacing w:before="40" w:after="40" w:line="240" w:lineRule="auto"/>
              <w:jc w:val="left"/>
            </w:pPr>
            <w:r>
              <w:rPr>
                <w:rFonts w:ascii="Calibri" w:hAnsi="Calibri" w:eastAsia="Calibri" w:cs="Calibri"/>
                <w:b/>
                <w:bCs/>
                <w:color w:val="1C2733"/>
                <w:sz w:val="15"/>
                <w:szCs w:val="15"/>
              </w:rPr>
              <w:t>CONSEQUENCE (as supplied)</w:t>
            </w:r>
          </w:p>
        </w:tc>
        <w:tc>
          <w:tcPr>
            <w:tcW w:w="1924" w:type="dxa"/>
            <w:shd w:val="clear" w:color="auto" w:fill="DCE7F1"/>
            <w:tcMar>
              <w:top w:w="60" w:type="dxa"/>
              <w:left w:w="90" w:type="dxa"/>
              <w:bottom w:w="60" w:type="dxa"/>
              <w:right w:w="90" w:type="dxa"/>
            </w:tcMar>
          </w:tcPr>
          <w:p w14:paraId="3F9430A0">
            <w:pPr>
              <w:spacing w:before="40" w:after="40" w:line="240" w:lineRule="auto"/>
              <w:jc w:val="left"/>
            </w:pPr>
            <w:r>
              <w:rPr>
                <w:rFonts w:ascii="Calibri" w:hAnsi="Calibri" w:eastAsia="Calibri" w:cs="Calibri"/>
                <w:b/>
                <w:bCs/>
                <w:color w:val="1C2733"/>
                <w:sz w:val="15"/>
                <w:szCs w:val="15"/>
              </w:rPr>
              <w:t>CLINVAR_SIG (as supplied)</w:t>
            </w:r>
          </w:p>
        </w:tc>
      </w:tr>
      <w:tr w14:paraId="1082956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800" w:type="dxa"/>
            <w:tcMar>
              <w:top w:w="60" w:type="dxa"/>
              <w:left w:w="90" w:type="dxa"/>
              <w:bottom w:w="60" w:type="dxa"/>
              <w:right w:w="90" w:type="dxa"/>
            </w:tcMar>
          </w:tcPr>
          <w:p w14:paraId="6ACB8071">
            <w:pPr>
              <w:spacing w:before="40" w:after="40" w:line="240" w:lineRule="auto"/>
              <w:jc w:val="left"/>
            </w:pPr>
            <w:r>
              <w:rPr>
                <w:rFonts w:ascii="Calibri" w:hAnsi="Calibri" w:eastAsia="Calibri" w:cs="Calibri"/>
                <w:color w:val="1C2733"/>
                <w:sz w:val="15"/>
                <w:szCs w:val="15"/>
              </w:rPr>
              <w:t>chr17</w:t>
            </w:r>
          </w:p>
        </w:tc>
        <w:tc>
          <w:tcPr>
            <w:tcW w:w="1300" w:type="dxa"/>
            <w:tcMar>
              <w:top w:w="60" w:type="dxa"/>
              <w:left w:w="90" w:type="dxa"/>
              <w:bottom w:w="60" w:type="dxa"/>
              <w:right w:w="90" w:type="dxa"/>
            </w:tcMar>
          </w:tcPr>
          <w:p w14:paraId="16E949BF">
            <w:pPr>
              <w:spacing w:before="40" w:after="40" w:line="240" w:lineRule="auto"/>
              <w:jc w:val="left"/>
            </w:pPr>
            <w:r>
              <w:rPr>
                <w:rFonts w:ascii="Calibri" w:hAnsi="Calibri" w:eastAsia="Calibri" w:cs="Calibri"/>
                <w:color w:val="1C2733"/>
                <w:sz w:val="15"/>
                <w:szCs w:val="15"/>
              </w:rPr>
              <w:t>7,673,803</w:t>
            </w:r>
          </w:p>
        </w:tc>
        <w:tc>
          <w:tcPr>
            <w:tcW w:w="900" w:type="dxa"/>
            <w:tcMar>
              <w:top w:w="60" w:type="dxa"/>
              <w:left w:w="90" w:type="dxa"/>
              <w:bottom w:w="60" w:type="dxa"/>
              <w:right w:w="90" w:type="dxa"/>
            </w:tcMar>
          </w:tcPr>
          <w:p w14:paraId="3D39321F">
            <w:pPr>
              <w:spacing w:before="40" w:after="40" w:line="240" w:lineRule="auto"/>
              <w:jc w:val="left"/>
            </w:pPr>
            <w:r>
              <w:rPr>
                <w:rFonts w:ascii="Calibri" w:hAnsi="Calibri" w:eastAsia="Calibri" w:cs="Calibri"/>
                <w:color w:val="1C2733"/>
                <w:sz w:val="15"/>
                <w:szCs w:val="15"/>
              </w:rPr>
              <w:t>G&gt;A</w:t>
            </w:r>
          </w:p>
        </w:tc>
        <w:tc>
          <w:tcPr>
            <w:tcW w:w="600" w:type="dxa"/>
            <w:tcMar>
              <w:top w:w="60" w:type="dxa"/>
              <w:left w:w="90" w:type="dxa"/>
              <w:bottom w:w="60" w:type="dxa"/>
              <w:right w:w="90" w:type="dxa"/>
            </w:tcMar>
          </w:tcPr>
          <w:p w14:paraId="4A7A9CA8">
            <w:pPr>
              <w:spacing w:before="40" w:after="40" w:line="240" w:lineRule="auto"/>
              <w:jc w:val="left"/>
            </w:pPr>
            <w:r>
              <w:rPr>
                <w:rFonts w:ascii="Calibri" w:hAnsi="Calibri" w:eastAsia="Calibri" w:cs="Calibri"/>
                <w:color w:val="1C2733"/>
                <w:sz w:val="15"/>
                <w:szCs w:val="15"/>
              </w:rPr>
              <w:t>80</w:t>
            </w:r>
          </w:p>
        </w:tc>
        <w:tc>
          <w:tcPr>
            <w:tcW w:w="600" w:type="dxa"/>
            <w:tcMar>
              <w:top w:w="60" w:type="dxa"/>
              <w:left w:w="90" w:type="dxa"/>
              <w:bottom w:w="60" w:type="dxa"/>
              <w:right w:w="90" w:type="dxa"/>
            </w:tcMar>
          </w:tcPr>
          <w:p w14:paraId="3E422BC7">
            <w:pPr>
              <w:spacing w:before="40" w:after="40" w:line="240" w:lineRule="auto"/>
              <w:jc w:val="left"/>
            </w:pPr>
            <w:r>
              <w:rPr>
                <w:rFonts w:ascii="Calibri" w:hAnsi="Calibri" w:eastAsia="Calibri" w:cs="Calibri"/>
                <w:color w:val="1C2733"/>
                <w:sz w:val="15"/>
                <w:szCs w:val="15"/>
              </w:rPr>
              <w:t>99</w:t>
            </w:r>
          </w:p>
        </w:tc>
        <w:tc>
          <w:tcPr>
            <w:tcW w:w="900" w:type="dxa"/>
            <w:tcMar>
              <w:top w:w="60" w:type="dxa"/>
              <w:left w:w="90" w:type="dxa"/>
              <w:bottom w:w="60" w:type="dxa"/>
              <w:right w:w="90" w:type="dxa"/>
            </w:tcMar>
          </w:tcPr>
          <w:p w14:paraId="2AAB583F">
            <w:pPr>
              <w:spacing w:before="40" w:after="40" w:line="240" w:lineRule="auto"/>
              <w:jc w:val="left"/>
            </w:pPr>
            <w:r>
              <w:rPr>
                <w:rFonts w:ascii="Calibri" w:hAnsi="Calibri" w:eastAsia="Calibri" w:cs="Calibri"/>
                <w:color w:val="1C2733"/>
                <w:sz w:val="15"/>
                <w:szCs w:val="15"/>
              </w:rPr>
              <w:t>1e-5</w:t>
            </w:r>
          </w:p>
        </w:tc>
        <w:tc>
          <w:tcPr>
            <w:tcW w:w="900" w:type="dxa"/>
            <w:tcMar>
              <w:top w:w="60" w:type="dxa"/>
              <w:left w:w="90" w:type="dxa"/>
              <w:bottom w:w="60" w:type="dxa"/>
              <w:right w:w="90" w:type="dxa"/>
            </w:tcMar>
          </w:tcPr>
          <w:p w14:paraId="77A562C1">
            <w:pPr>
              <w:spacing w:before="40" w:after="40" w:line="240" w:lineRule="auto"/>
              <w:jc w:val="left"/>
            </w:pPr>
            <w:r>
              <w:rPr>
                <w:rFonts w:ascii="Calibri" w:hAnsi="Calibri" w:eastAsia="Calibri" w:cs="Calibri"/>
                <w:color w:val="1C2733"/>
                <w:sz w:val="15"/>
                <w:szCs w:val="15"/>
              </w:rPr>
              <w:t>TP53</w:t>
            </w:r>
          </w:p>
        </w:tc>
        <w:tc>
          <w:tcPr>
            <w:tcW w:w="2300" w:type="dxa"/>
            <w:tcMar>
              <w:top w:w="60" w:type="dxa"/>
              <w:left w:w="90" w:type="dxa"/>
              <w:bottom w:w="60" w:type="dxa"/>
              <w:right w:w="90" w:type="dxa"/>
            </w:tcMar>
          </w:tcPr>
          <w:p w14:paraId="27268090">
            <w:pPr>
              <w:spacing w:before="40" w:after="40" w:line="240" w:lineRule="auto"/>
              <w:jc w:val="left"/>
            </w:pPr>
            <w:r>
              <w:rPr>
                <w:rFonts w:ascii="Calibri" w:hAnsi="Calibri" w:eastAsia="Calibri" w:cs="Calibri"/>
                <w:color w:val="1C2733"/>
                <w:sz w:val="15"/>
                <w:szCs w:val="15"/>
              </w:rPr>
              <w:t>splice_acceptor_variant</w:t>
            </w:r>
          </w:p>
        </w:tc>
        <w:tc>
          <w:tcPr>
            <w:tcW w:w="1924" w:type="dxa"/>
            <w:tcMar>
              <w:top w:w="60" w:type="dxa"/>
              <w:left w:w="90" w:type="dxa"/>
              <w:bottom w:w="60" w:type="dxa"/>
              <w:right w:w="90" w:type="dxa"/>
            </w:tcMar>
          </w:tcPr>
          <w:p w14:paraId="0299E530">
            <w:pPr>
              <w:spacing w:before="40" w:after="40" w:line="240" w:lineRule="auto"/>
              <w:jc w:val="left"/>
            </w:pPr>
            <w:r>
              <w:rPr>
                <w:rFonts w:ascii="Calibri" w:hAnsi="Calibri" w:eastAsia="Calibri" w:cs="Calibri"/>
                <w:color w:val="1C2733"/>
                <w:sz w:val="15"/>
                <w:szCs w:val="15"/>
              </w:rPr>
              <w:t>Pathogenic</w:t>
            </w:r>
          </w:p>
        </w:tc>
      </w:tr>
      <w:tr w14:paraId="564222B8">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800" w:type="dxa"/>
            <w:shd w:val="clear" w:color="auto" w:fill="F6F8FA"/>
            <w:tcMar>
              <w:top w:w="60" w:type="dxa"/>
              <w:left w:w="90" w:type="dxa"/>
              <w:bottom w:w="60" w:type="dxa"/>
              <w:right w:w="90" w:type="dxa"/>
            </w:tcMar>
          </w:tcPr>
          <w:p w14:paraId="0FF9146E">
            <w:pPr>
              <w:spacing w:before="40" w:after="40" w:line="240" w:lineRule="auto"/>
              <w:jc w:val="left"/>
            </w:pPr>
            <w:r>
              <w:rPr>
                <w:rFonts w:ascii="Calibri" w:hAnsi="Calibri" w:eastAsia="Calibri" w:cs="Calibri"/>
                <w:color w:val="1C2733"/>
                <w:sz w:val="15"/>
                <w:szCs w:val="15"/>
              </w:rPr>
              <w:t>chr12</w:t>
            </w:r>
          </w:p>
        </w:tc>
        <w:tc>
          <w:tcPr>
            <w:tcW w:w="1300" w:type="dxa"/>
            <w:shd w:val="clear" w:color="auto" w:fill="F6F8FA"/>
            <w:tcMar>
              <w:top w:w="60" w:type="dxa"/>
              <w:left w:w="90" w:type="dxa"/>
              <w:bottom w:w="60" w:type="dxa"/>
              <w:right w:w="90" w:type="dxa"/>
            </w:tcMar>
          </w:tcPr>
          <w:p w14:paraId="4522D7E0">
            <w:pPr>
              <w:spacing w:before="40" w:after="40" w:line="240" w:lineRule="auto"/>
              <w:jc w:val="left"/>
            </w:pPr>
            <w:r>
              <w:rPr>
                <w:rFonts w:ascii="Calibri" w:hAnsi="Calibri" w:eastAsia="Calibri" w:cs="Calibri"/>
                <w:color w:val="1C2733"/>
                <w:sz w:val="15"/>
                <w:szCs w:val="15"/>
              </w:rPr>
              <w:t>25,398,284</w:t>
            </w:r>
          </w:p>
        </w:tc>
        <w:tc>
          <w:tcPr>
            <w:tcW w:w="900" w:type="dxa"/>
            <w:shd w:val="clear" w:color="auto" w:fill="F6F8FA"/>
            <w:tcMar>
              <w:top w:w="60" w:type="dxa"/>
              <w:left w:w="90" w:type="dxa"/>
              <w:bottom w:w="60" w:type="dxa"/>
              <w:right w:w="90" w:type="dxa"/>
            </w:tcMar>
          </w:tcPr>
          <w:p w14:paraId="00F207D4">
            <w:pPr>
              <w:spacing w:before="40" w:after="40" w:line="240" w:lineRule="auto"/>
              <w:jc w:val="left"/>
            </w:pPr>
            <w:r>
              <w:rPr>
                <w:rFonts w:ascii="Calibri" w:hAnsi="Calibri" w:eastAsia="Calibri" w:cs="Calibri"/>
                <w:color w:val="1C2733"/>
                <w:sz w:val="15"/>
                <w:szCs w:val="15"/>
              </w:rPr>
              <w:t>C&gt;A</w:t>
            </w:r>
          </w:p>
        </w:tc>
        <w:tc>
          <w:tcPr>
            <w:tcW w:w="600" w:type="dxa"/>
            <w:shd w:val="clear" w:color="auto" w:fill="F6F8FA"/>
            <w:tcMar>
              <w:top w:w="60" w:type="dxa"/>
              <w:left w:w="90" w:type="dxa"/>
              <w:bottom w:w="60" w:type="dxa"/>
              <w:right w:w="90" w:type="dxa"/>
            </w:tcMar>
          </w:tcPr>
          <w:p w14:paraId="59C93536">
            <w:pPr>
              <w:spacing w:before="40" w:after="40" w:line="240" w:lineRule="auto"/>
              <w:jc w:val="left"/>
            </w:pPr>
            <w:r>
              <w:rPr>
                <w:rFonts w:ascii="Calibri" w:hAnsi="Calibri" w:eastAsia="Calibri" w:cs="Calibri"/>
                <w:color w:val="1C2733"/>
                <w:sz w:val="15"/>
                <w:szCs w:val="15"/>
              </w:rPr>
              <w:t>58</w:t>
            </w:r>
          </w:p>
        </w:tc>
        <w:tc>
          <w:tcPr>
            <w:tcW w:w="600" w:type="dxa"/>
            <w:shd w:val="clear" w:color="auto" w:fill="F6F8FA"/>
            <w:tcMar>
              <w:top w:w="60" w:type="dxa"/>
              <w:left w:w="90" w:type="dxa"/>
              <w:bottom w:w="60" w:type="dxa"/>
              <w:right w:w="90" w:type="dxa"/>
            </w:tcMar>
          </w:tcPr>
          <w:p w14:paraId="4E7E2AE0">
            <w:pPr>
              <w:spacing w:before="40" w:after="40" w:line="240" w:lineRule="auto"/>
              <w:jc w:val="left"/>
            </w:pPr>
            <w:r>
              <w:rPr>
                <w:rFonts w:ascii="Calibri" w:hAnsi="Calibri" w:eastAsia="Calibri" w:cs="Calibri"/>
                <w:color w:val="1C2733"/>
                <w:sz w:val="15"/>
                <w:szCs w:val="15"/>
              </w:rPr>
              <w:t>91</w:t>
            </w:r>
          </w:p>
        </w:tc>
        <w:tc>
          <w:tcPr>
            <w:tcW w:w="900" w:type="dxa"/>
            <w:shd w:val="clear" w:color="auto" w:fill="F6F8FA"/>
            <w:tcMar>
              <w:top w:w="60" w:type="dxa"/>
              <w:left w:w="90" w:type="dxa"/>
              <w:bottom w:w="60" w:type="dxa"/>
              <w:right w:w="90" w:type="dxa"/>
            </w:tcMar>
          </w:tcPr>
          <w:p w14:paraId="520515A9">
            <w:pPr>
              <w:spacing w:before="40" w:after="40" w:line="240" w:lineRule="auto"/>
              <w:jc w:val="left"/>
            </w:pPr>
            <w:r>
              <w:rPr>
                <w:rFonts w:ascii="Calibri" w:hAnsi="Calibri" w:eastAsia="Calibri" w:cs="Calibri"/>
                <w:color w:val="1C2733"/>
                <w:sz w:val="15"/>
                <w:szCs w:val="15"/>
              </w:rPr>
              <w:t>1.5e-4</w:t>
            </w:r>
          </w:p>
        </w:tc>
        <w:tc>
          <w:tcPr>
            <w:tcW w:w="900" w:type="dxa"/>
            <w:shd w:val="clear" w:color="auto" w:fill="F6F8FA"/>
            <w:tcMar>
              <w:top w:w="60" w:type="dxa"/>
              <w:left w:w="90" w:type="dxa"/>
              <w:bottom w:w="60" w:type="dxa"/>
              <w:right w:w="90" w:type="dxa"/>
            </w:tcMar>
          </w:tcPr>
          <w:p w14:paraId="4D2C8DEA">
            <w:pPr>
              <w:spacing w:before="40" w:after="40" w:line="240" w:lineRule="auto"/>
              <w:jc w:val="left"/>
            </w:pPr>
            <w:r>
              <w:rPr>
                <w:rFonts w:ascii="Calibri" w:hAnsi="Calibri" w:eastAsia="Calibri" w:cs="Calibri"/>
                <w:color w:val="1C2733"/>
                <w:sz w:val="15"/>
                <w:szCs w:val="15"/>
              </w:rPr>
              <w:t>KRAS</w:t>
            </w:r>
          </w:p>
        </w:tc>
        <w:tc>
          <w:tcPr>
            <w:tcW w:w="2300" w:type="dxa"/>
            <w:shd w:val="clear" w:color="auto" w:fill="F6F8FA"/>
            <w:tcMar>
              <w:top w:w="60" w:type="dxa"/>
              <w:left w:w="90" w:type="dxa"/>
              <w:bottom w:w="60" w:type="dxa"/>
              <w:right w:w="90" w:type="dxa"/>
            </w:tcMar>
          </w:tcPr>
          <w:p w14:paraId="04A7572E">
            <w:pPr>
              <w:spacing w:before="40" w:after="40" w:line="240" w:lineRule="auto"/>
              <w:jc w:val="left"/>
            </w:pPr>
            <w:r>
              <w:rPr>
                <w:rFonts w:ascii="Calibri" w:hAnsi="Calibri" w:eastAsia="Calibri" w:cs="Calibri"/>
                <w:color w:val="1C2733"/>
                <w:sz w:val="15"/>
                <w:szCs w:val="15"/>
              </w:rPr>
              <w:t>missense_variant</w:t>
            </w:r>
          </w:p>
        </w:tc>
        <w:tc>
          <w:tcPr>
            <w:tcW w:w="1924" w:type="dxa"/>
            <w:shd w:val="clear" w:color="auto" w:fill="F6F8FA"/>
            <w:tcMar>
              <w:top w:w="60" w:type="dxa"/>
              <w:left w:w="90" w:type="dxa"/>
              <w:bottom w:w="60" w:type="dxa"/>
              <w:right w:w="90" w:type="dxa"/>
            </w:tcMar>
          </w:tcPr>
          <w:p w14:paraId="1CBED391">
            <w:pPr>
              <w:spacing w:before="40" w:after="40" w:line="240" w:lineRule="auto"/>
              <w:jc w:val="left"/>
            </w:pPr>
            <w:r>
              <w:rPr>
                <w:rFonts w:ascii="Calibri" w:hAnsi="Calibri" w:eastAsia="Calibri" w:cs="Calibri"/>
                <w:color w:val="1C2733"/>
                <w:sz w:val="15"/>
                <w:szCs w:val="15"/>
              </w:rPr>
              <w:t>Conflicting interpretations</w:t>
            </w:r>
          </w:p>
        </w:tc>
      </w:tr>
      <w:tr w14:paraId="0FCFDC93">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800" w:type="dxa"/>
            <w:tcMar>
              <w:top w:w="60" w:type="dxa"/>
              <w:left w:w="90" w:type="dxa"/>
              <w:bottom w:w="60" w:type="dxa"/>
              <w:right w:w="90" w:type="dxa"/>
            </w:tcMar>
          </w:tcPr>
          <w:p w14:paraId="5622813F">
            <w:pPr>
              <w:spacing w:before="40" w:after="40" w:line="240" w:lineRule="auto"/>
              <w:jc w:val="left"/>
            </w:pPr>
            <w:r>
              <w:rPr>
                <w:rFonts w:ascii="Calibri" w:hAnsi="Calibri" w:eastAsia="Calibri" w:cs="Calibri"/>
                <w:color w:val="1C2733"/>
                <w:sz w:val="15"/>
                <w:szCs w:val="15"/>
              </w:rPr>
              <w:t>chr13</w:t>
            </w:r>
          </w:p>
        </w:tc>
        <w:tc>
          <w:tcPr>
            <w:tcW w:w="1300" w:type="dxa"/>
            <w:tcMar>
              <w:top w:w="60" w:type="dxa"/>
              <w:left w:w="90" w:type="dxa"/>
              <w:bottom w:w="60" w:type="dxa"/>
              <w:right w:w="90" w:type="dxa"/>
            </w:tcMar>
          </w:tcPr>
          <w:p w14:paraId="3B78A14A">
            <w:pPr>
              <w:spacing w:before="40" w:after="40" w:line="240" w:lineRule="auto"/>
              <w:jc w:val="left"/>
            </w:pPr>
            <w:r>
              <w:rPr>
                <w:rFonts w:ascii="Calibri" w:hAnsi="Calibri" w:eastAsia="Calibri" w:cs="Calibri"/>
                <w:color w:val="1C2733"/>
                <w:sz w:val="15"/>
                <w:szCs w:val="15"/>
              </w:rPr>
              <w:t>32,316,461</w:t>
            </w:r>
          </w:p>
        </w:tc>
        <w:tc>
          <w:tcPr>
            <w:tcW w:w="900" w:type="dxa"/>
            <w:tcMar>
              <w:top w:w="60" w:type="dxa"/>
              <w:left w:w="90" w:type="dxa"/>
              <w:bottom w:w="60" w:type="dxa"/>
              <w:right w:w="90" w:type="dxa"/>
            </w:tcMar>
          </w:tcPr>
          <w:p w14:paraId="4AB46318">
            <w:pPr>
              <w:spacing w:before="40" w:after="40" w:line="240" w:lineRule="auto"/>
              <w:jc w:val="left"/>
            </w:pPr>
            <w:r>
              <w:rPr>
                <w:rFonts w:ascii="Calibri" w:hAnsi="Calibri" w:eastAsia="Calibri" w:cs="Calibri"/>
                <w:color w:val="1C2733"/>
                <w:sz w:val="15"/>
                <w:szCs w:val="15"/>
              </w:rPr>
              <w:t>C&gt;T</w:t>
            </w:r>
          </w:p>
        </w:tc>
        <w:tc>
          <w:tcPr>
            <w:tcW w:w="600" w:type="dxa"/>
            <w:tcMar>
              <w:top w:w="60" w:type="dxa"/>
              <w:left w:w="90" w:type="dxa"/>
              <w:bottom w:w="60" w:type="dxa"/>
              <w:right w:w="90" w:type="dxa"/>
            </w:tcMar>
          </w:tcPr>
          <w:p w14:paraId="64860644">
            <w:pPr>
              <w:spacing w:before="40" w:after="40" w:line="240" w:lineRule="auto"/>
              <w:jc w:val="left"/>
            </w:pPr>
            <w:r>
              <w:rPr>
                <w:rFonts w:ascii="Calibri" w:hAnsi="Calibri" w:eastAsia="Calibri" w:cs="Calibri"/>
                <w:color w:val="1C2733"/>
                <w:sz w:val="15"/>
                <w:szCs w:val="15"/>
              </w:rPr>
              <w:t>60</w:t>
            </w:r>
          </w:p>
        </w:tc>
        <w:tc>
          <w:tcPr>
            <w:tcW w:w="600" w:type="dxa"/>
            <w:tcMar>
              <w:top w:w="60" w:type="dxa"/>
              <w:left w:w="90" w:type="dxa"/>
              <w:bottom w:w="60" w:type="dxa"/>
              <w:right w:w="90" w:type="dxa"/>
            </w:tcMar>
          </w:tcPr>
          <w:p w14:paraId="55055104">
            <w:pPr>
              <w:spacing w:before="40" w:after="40" w:line="240" w:lineRule="auto"/>
              <w:jc w:val="left"/>
            </w:pPr>
            <w:r>
              <w:rPr>
                <w:rFonts w:ascii="Calibri" w:hAnsi="Calibri" w:eastAsia="Calibri" w:cs="Calibri"/>
                <w:color w:val="1C2733"/>
                <w:sz w:val="15"/>
                <w:szCs w:val="15"/>
              </w:rPr>
              <w:t>90</w:t>
            </w:r>
          </w:p>
        </w:tc>
        <w:tc>
          <w:tcPr>
            <w:tcW w:w="900" w:type="dxa"/>
            <w:tcMar>
              <w:top w:w="60" w:type="dxa"/>
              <w:left w:w="90" w:type="dxa"/>
              <w:bottom w:w="60" w:type="dxa"/>
              <w:right w:w="90" w:type="dxa"/>
            </w:tcMar>
          </w:tcPr>
          <w:p w14:paraId="659F1E44">
            <w:pPr>
              <w:spacing w:before="40" w:after="40" w:line="240" w:lineRule="auto"/>
              <w:jc w:val="left"/>
            </w:pPr>
            <w:r>
              <w:rPr>
                <w:rFonts w:ascii="Calibri" w:hAnsi="Calibri" w:eastAsia="Calibri" w:cs="Calibri"/>
                <w:color w:val="1C2733"/>
                <w:sz w:val="15"/>
                <w:szCs w:val="15"/>
              </w:rPr>
              <w:t>1e-4</w:t>
            </w:r>
          </w:p>
        </w:tc>
        <w:tc>
          <w:tcPr>
            <w:tcW w:w="900" w:type="dxa"/>
            <w:tcMar>
              <w:top w:w="60" w:type="dxa"/>
              <w:left w:w="90" w:type="dxa"/>
              <w:bottom w:w="60" w:type="dxa"/>
              <w:right w:w="90" w:type="dxa"/>
            </w:tcMar>
          </w:tcPr>
          <w:p w14:paraId="57F7E801">
            <w:pPr>
              <w:spacing w:before="40" w:after="40" w:line="240" w:lineRule="auto"/>
              <w:jc w:val="left"/>
            </w:pPr>
            <w:r>
              <w:rPr>
                <w:rFonts w:ascii="Calibri" w:hAnsi="Calibri" w:eastAsia="Calibri" w:cs="Calibri"/>
                <w:color w:val="1C2733"/>
                <w:sz w:val="15"/>
                <w:szCs w:val="15"/>
              </w:rPr>
              <w:t>BRCA2</w:t>
            </w:r>
          </w:p>
        </w:tc>
        <w:tc>
          <w:tcPr>
            <w:tcW w:w="2300" w:type="dxa"/>
            <w:tcMar>
              <w:top w:w="60" w:type="dxa"/>
              <w:left w:w="90" w:type="dxa"/>
              <w:bottom w:w="60" w:type="dxa"/>
              <w:right w:w="90" w:type="dxa"/>
            </w:tcMar>
          </w:tcPr>
          <w:p w14:paraId="5242FA3A">
            <w:pPr>
              <w:spacing w:before="40" w:after="40" w:line="240" w:lineRule="auto"/>
              <w:jc w:val="left"/>
            </w:pPr>
            <w:r>
              <w:rPr>
                <w:rFonts w:ascii="Calibri" w:hAnsi="Calibri" w:eastAsia="Calibri" w:cs="Calibri"/>
                <w:color w:val="1C2733"/>
                <w:sz w:val="15"/>
                <w:szCs w:val="15"/>
              </w:rPr>
              <w:t>missense_variant</w:t>
            </w:r>
          </w:p>
        </w:tc>
        <w:tc>
          <w:tcPr>
            <w:tcW w:w="1924" w:type="dxa"/>
            <w:tcMar>
              <w:top w:w="60" w:type="dxa"/>
              <w:left w:w="90" w:type="dxa"/>
              <w:bottom w:w="60" w:type="dxa"/>
              <w:right w:w="90" w:type="dxa"/>
            </w:tcMar>
          </w:tcPr>
          <w:p w14:paraId="7A8B5600">
            <w:pPr>
              <w:spacing w:before="40" w:after="40" w:line="240" w:lineRule="auto"/>
              <w:jc w:val="left"/>
            </w:pPr>
            <w:r>
              <w:rPr>
                <w:rFonts w:ascii="Calibri" w:hAnsi="Calibri" w:eastAsia="Calibri" w:cs="Calibri"/>
                <w:color w:val="1C2733"/>
                <w:sz w:val="15"/>
                <w:szCs w:val="15"/>
              </w:rPr>
              <w:t>Uncertain significance</w:t>
            </w:r>
          </w:p>
        </w:tc>
      </w:tr>
      <w:tr w14:paraId="6046B6B5">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800" w:type="dxa"/>
            <w:shd w:val="clear" w:color="auto" w:fill="F6F8FA"/>
            <w:tcMar>
              <w:top w:w="60" w:type="dxa"/>
              <w:left w:w="90" w:type="dxa"/>
              <w:bottom w:w="60" w:type="dxa"/>
              <w:right w:w="90" w:type="dxa"/>
            </w:tcMar>
          </w:tcPr>
          <w:p w14:paraId="3E9F6B37">
            <w:pPr>
              <w:spacing w:before="40" w:after="40" w:line="240" w:lineRule="auto"/>
              <w:jc w:val="left"/>
            </w:pPr>
            <w:r>
              <w:rPr>
                <w:rFonts w:ascii="Calibri" w:hAnsi="Calibri" w:eastAsia="Calibri" w:cs="Calibri"/>
                <w:color w:val="1C2733"/>
                <w:sz w:val="15"/>
                <w:szCs w:val="15"/>
              </w:rPr>
              <w:t>chr19</w:t>
            </w:r>
          </w:p>
        </w:tc>
        <w:tc>
          <w:tcPr>
            <w:tcW w:w="1300" w:type="dxa"/>
            <w:shd w:val="clear" w:color="auto" w:fill="F6F8FA"/>
            <w:tcMar>
              <w:top w:w="60" w:type="dxa"/>
              <w:left w:w="90" w:type="dxa"/>
              <w:bottom w:w="60" w:type="dxa"/>
              <w:right w:w="90" w:type="dxa"/>
            </w:tcMar>
          </w:tcPr>
          <w:p w14:paraId="2FC21E8A">
            <w:pPr>
              <w:spacing w:before="40" w:after="40" w:line="240" w:lineRule="auto"/>
              <w:jc w:val="left"/>
            </w:pPr>
            <w:r>
              <w:rPr>
                <w:rFonts w:ascii="Calibri" w:hAnsi="Calibri" w:eastAsia="Calibri" w:cs="Calibri"/>
                <w:color w:val="1C2733"/>
                <w:sz w:val="15"/>
                <w:szCs w:val="15"/>
              </w:rPr>
              <w:t>11,200,200</w:t>
            </w:r>
          </w:p>
        </w:tc>
        <w:tc>
          <w:tcPr>
            <w:tcW w:w="900" w:type="dxa"/>
            <w:shd w:val="clear" w:color="auto" w:fill="F6F8FA"/>
            <w:tcMar>
              <w:top w:w="60" w:type="dxa"/>
              <w:left w:w="90" w:type="dxa"/>
              <w:bottom w:w="60" w:type="dxa"/>
              <w:right w:w="90" w:type="dxa"/>
            </w:tcMar>
          </w:tcPr>
          <w:p w14:paraId="4CA29014">
            <w:pPr>
              <w:spacing w:before="40" w:after="40" w:line="240" w:lineRule="auto"/>
              <w:jc w:val="left"/>
            </w:pPr>
            <w:r>
              <w:rPr>
                <w:rFonts w:ascii="Calibri" w:hAnsi="Calibri" w:eastAsia="Calibri" w:cs="Calibri"/>
                <w:color w:val="1C2733"/>
                <w:sz w:val="15"/>
                <w:szCs w:val="15"/>
              </w:rPr>
              <w:t>C&gt;T</w:t>
            </w:r>
          </w:p>
        </w:tc>
        <w:tc>
          <w:tcPr>
            <w:tcW w:w="600" w:type="dxa"/>
            <w:shd w:val="clear" w:color="auto" w:fill="F6F8FA"/>
            <w:tcMar>
              <w:top w:w="60" w:type="dxa"/>
              <w:left w:w="90" w:type="dxa"/>
              <w:bottom w:w="60" w:type="dxa"/>
              <w:right w:w="90" w:type="dxa"/>
            </w:tcMar>
          </w:tcPr>
          <w:p w14:paraId="688048B0">
            <w:pPr>
              <w:spacing w:before="40" w:after="40" w:line="240" w:lineRule="auto"/>
              <w:jc w:val="left"/>
            </w:pPr>
            <w:r>
              <w:rPr>
                <w:rFonts w:ascii="Calibri" w:hAnsi="Calibri" w:eastAsia="Calibri" w:cs="Calibri"/>
                <w:color w:val="1C2733"/>
                <w:sz w:val="15"/>
                <w:szCs w:val="15"/>
              </w:rPr>
              <w:t>40</w:t>
            </w:r>
          </w:p>
        </w:tc>
        <w:tc>
          <w:tcPr>
            <w:tcW w:w="600" w:type="dxa"/>
            <w:shd w:val="clear" w:color="auto" w:fill="F6F8FA"/>
            <w:tcMar>
              <w:top w:w="60" w:type="dxa"/>
              <w:left w:w="90" w:type="dxa"/>
              <w:bottom w:w="60" w:type="dxa"/>
              <w:right w:w="90" w:type="dxa"/>
            </w:tcMar>
          </w:tcPr>
          <w:p w14:paraId="28B107D7">
            <w:pPr>
              <w:spacing w:before="40" w:after="40" w:line="240" w:lineRule="auto"/>
              <w:jc w:val="left"/>
            </w:pPr>
            <w:r>
              <w:rPr>
                <w:rFonts w:ascii="Calibri" w:hAnsi="Calibri" w:eastAsia="Calibri" w:cs="Calibri"/>
                <w:color w:val="1C2733"/>
                <w:sz w:val="15"/>
                <w:szCs w:val="15"/>
              </w:rPr>
              <w:t>88</w:t>
            </w:r>
          </w:p>
        </w:tc>
        <w:tc>
          <w:tcPr>
            <w:tcW w:w="900" w:type="dxa"/>
            <w:shd w:val="clear" w:color="auto" w:fill="F6F8FA"/>
            <w:tcMar>
              <w:top w:w="60" w:type="dxa"/>
              <w:left w:w="90" w:type="dxa"/>
              <w:bottom w:w="60" w:type="dxa"/>
              <w:right w:w="90" w:type="dxa"/>
            </w:tcMar>
          </w:tcPr>
          <w:p w14:paraId="4C7E5A89">
            <w:pPr>
              <w:spacing w:before="40" w:after="40" w:line="240" w:lineRule="auto"/>
              <w:jc w:val="left"/>
            </w:pPr>
            <w:r>
              <w:rPr>
                <w:rFonts w:ascii="Calibri" w:hAnsi="Calibri" w:eastAsia="Calibri" w:cs="Calibri"/>
                <w:color w:val="1C2733"/>
                <w:sz w:val="15"/>
                <w:szCs w:val="15"/>
              </w:rPr>
              <w:t>2e-4</w:t>
            </w:r>
          </w:p>
        </w:tc>
        <w:tc>
          <w:tcPr>
            <w:tcW w:w="900" w:type="dxa"/>
            <w:shd w:val="clear" w:color="auto" w:fill="F6F8FA"/>
            <w:tcMar>
              <w:top w:w="60" w:type="dxa"/>
              <w:left w:w="90" w:type="dxa"/>
              <w:bottom w:w="60" w:type="dxa"/>
              <w:right w:w="90" w:type="dxa"/>
            </w:tcMar>
          </w:tcPr>
          <w:p w14:paraId="4A66D762">
            <w:pPr>
              <w:spacing w:before="40" w:after="40" w:line="240" w:lineRule="auto"/>
              <w:jc w:val="left"/>
            </w:pPr>
            <w:r>
              <w:rPr>
                <w:rFonts w:ascii="Calibri" w:hAnsi="Calibri" w:eastAsia="Calibri" w:cs="Calibri"/>
                <w:color w:val="1C2733"/>
                <w:sz w:val="15"/>
                <w:szCs w:val="15"/>
              </w:rPr>
              <w:t>LDLR</w:t>
            </w:r>
          </w:p>
        </w:tc>
        <w:tc>
          <w:tcPr>
            <w:tcW w:w="2300" w:type="dxa"/>
            <w:shd w:val="clear" w:color="auto" w:fill="F6F8FA"/>
            <w:tcMar>
              <w:top w:w="60" w:type="dxa"/>
              <w:left w:w="90" w:type="dxa"/>
              <w:bottom w:w="60" w:type="dxa"/>
              <w:right w:w="90" w:type="dxa"/>
            </w:tcMar>
          </w:tcPr>
          <w:p w14:paraId="480BEC37">
            <w:pPr>
              <w:spacing w:before="40" w:after="40" w:line="240" w:lineRule="auto"/>
              <w:jc w:val="left"/>
            </w:pPr>
            <w:r>
              <w:rPr>
                <w:rFonts w:ascii="Calibri" w:hAnsi="Calibri" w:eastAsia="Calibri" w:cs="Calibri"/>
                <w:color w:val="1C2733"/>
                <w:sz w:val="15"/>
                <w:szCs w:val="15"/>
              </w:rPr>
              <w:t>missense_variant</w:t>
            </w:r>
          </w:p>
        </w:tc>
        <w:tc>
          <w:tcPr>
            <w:tcW w:w="1924" w:type="dxa"/>
            <w:shd w:val="clear" w:color="auto" w:fill="F6F8FA"/>
            <w:tcMar>
              <w:top w:w="60" w:type="dxa"/>
              <w:left w:w="90" w:type="dxa"/>
              <w:bottom w:w="60" w:type="dxa"/>
              <w:right w:w="90" w:type="dxa"/>
            </w:tcMar>
          </w:tcPr>
          <w:p w14:paraId="1B052133">
            <w:pPr>
              <w:spacing w:before="40" w:after="40" w:line="240" w:lineRule="auto"/>
              <w:jc w:val="left"/>
            </w:pPr>
            <w:r>
              <w:rPr>
                <w:rFonts w:ascii="Calibri" w:hAnsi="Calibri" w:eastAsia="Calibri" w:cs="Calibri"/>
                <w:color w:val="1C2733"/>
                <w:sz w:val="15"/>
                <w:szCs w:val="15"/>
              </w:rPr>
              <w:t>Likely benign</w:t>
            </w:r>
          </w:p>
        </w:tc>
      </w:tr>
    </w:tbl>
    <w:p w14:paraId="247B06F3">
      <w:pPr>
        <w:pStyle w:val="4"/>
        <w:spacing w:before="200" w:after="80"/>
      </w:pPr>
      <w:r>
        <w:rPr>
          <w:rFonts w:ascii="Calibri" w:hAnsi="Calibri" w:eastAsia="Calibri" w:cs="Calibri"/>
          <w:b/>
          <w:bCs/>
          <w:color w:val="4A7C3F"/>
          <w:sz w:val="21"/>
          <w:szCs w:val="21"/>
        </w:rPr>
        <w:t>3.2  Independent re-annotation — the step that changed the answer</w:t>
      </w:r>
    </w:p>
    <w:p w14:paraId="4DE1206D">
      <w:pPr>
        <w:spacing w:before="60" w:after="100" w:line="276" w:lineRule="auto"/>
        <w:jc w:val="left"/>
      </w:pPr>
      <w:r>
        <w:rPr>
          <w:rFonts w:ascii="Calibri" w:hAnsi="Calibri" w:eastAsia="Calibri" w:cs="Calibri"/>
          <w:color w:val="1C2733"/>
          <w:sz w:val="21"/>
          <w:szCs w:val="21"/>
        </w:rPr>
        <w:t>Rather than accept the table's own CONSEQUENCE and CLINVAR columns, I re-derived them from the coordinates using Ensembl (REST lookup and VEP, GRCh38, release 116) and ClinVar directly. Three of the four shortlisted rows did not survive that check, and one of the excluded rows turned out to be internally contradictory.</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1700"/>
        <w:gridCol w:w="2100"/>
        <w:gridCol w:w="3524"/>
        <w:gridCol w:w="2900"/>
      </w:tblGrid>
      <w:tr w14:paraId="7BD3CFC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1700" w:type="dxa"/>
            <w:shd w:val="clear" w:color="auto" w:fill="DCE7F1"/>
            <w:tcMar>
              <w:top w:w="60" w:type="dxa"/>
              <w:left w:w="90" w:type="dxa"/>
              <w:bottom w:w="60" w:type="dxa"/>
              <w:right w:w="90" w:type="dxa"/>
            </w:tcMar>
          </w:tcPr>
          <w:p w14:paraId="56496389">
            <w:pPr>
              <w:spacing w:before="40" w:after="40" w:line="240" w:lineRule="auto"/>
              <w:jc w:val="left"/>
            </w:pPr>
            <w:r>
              <w:rPr>
                <w:rFonts w:ascii="Calibri" w:hAnsi="Calibri" w:eastAsia="Calibri" w:cs="Calibri"/>
                <w:b/>
                <w:bCs/>
                <w:color w:val="1C2733"/>
                <w:sz w:val="15"/>
                <w:szCs w:val="15"/>
              </w:rPr>
              <w:t>Variant</w:t>
            </w:r>
          </w:p>
        </w:tc>
        <w:tc>
          <w:tcPr>
            <w:tcW w:w="2100" w:type="dxa"/>
            <w:shd w:val="clear" w:color="auto" w:fill="DCE7F1"/>
            <w:tcMar>
              <w:top w:w="60" w:type="dxa"/>
              <w:left w:w="90" w:type="dxa"/>
              <w:bottom w:w="60" w:type="dxa"/>
              <w:right w:w="90" w:type="dxa"/>
            </w:tcMar>
          </w:tcPr>
          <w:p w14:paraId="3F046497">
            <w:pPr>
              <w:spacing w:before="40" w:after="40" w:line="240" w:lineRule="auto"/>
              <w:jc w:val="left"/>
            </w:pPr>
            <w:r>
              <w:rPr>
                <w:rFonts w:ascii="Calibri" w:hAnsi="Calibri" w:eastAsia="Calibri" w:cs="Calibri"/>
                <w:b/>
                <w:bCs/>
                <w:color w:val="1C2733"/>
                <w:sz w:val="15"/>
                <w:szCs w:val="15"/>
              </w:rPr>
              <w:t>What the table asserts</w:t>
            </w:r>
          </w:p>
        </w:tc>
        <w:tc>
          <w:tcPr>
            <w:tcW w:w="3524" w:type="dxa"/>
            <w:shd w:val="clear" w:color="auto" w:fill="DCE7F1"/>
            <w:tcMar>
              <w:top w:w="60" w:type="dxa"/>
              <w:left w:w="90" w:type="dxa"/>
              <w:bottom w:w="60" w:type="dxa"/>
              <w:right w:w="90" w:type="dxa"/>
            </w:tcMar>
          </w:tcPr>
          <w:p w14:paraId="0AF3549F">
            <w:pPr>
              <w:spacing w:before="40" w:after="40" w:line="240" w:lineRule="auto"/>
              <w:jc w:val="left"/>
            </w:pPr>
            <w:r>
              <w:rPr>
                <w:rFonts w:ascii="Calibri" w:hAnsi="Calibri" w:eastAsia="Calibri" w:cs="Calibri"/>
                <w:b/>
                <w:bCs/>
                <w:color w:val="1C2733"/>
                <w:sz w:val="15"/>
                <w:szCs w:val="15"/>
              </w:rPr>
              <w:t>What the primary source returns</w:t>
            </w:r>
          </w:p>
        </w:tc>
        <w:tc>
          <w:tcPr>
            <w:tcW w:w="2900" w:type="dxa"/>
            <w:shd w:val="clear" w:color="auto" w:fill="DCE7F1"/>
            <w:tcMar>
              <w:top w:w="60" w:type="dxa"/>
              <w:left w:w="90" w:type="dxa"/>
              <w:bottom w:w="60" w:type="dxa"/>
              <w:right w:w="90" w:type="dxa"/>
            </w:tcMar>
          </w:tcPr>
          <w:p w14:paraId="3BF572F7">
            <w:pPr>
              <w:spacing w:before="40" w:after="40" w:line="240" w:lineRule="auto"/>
              <w:jc w:val="left"/>
            </w:pPr>
            <w:r>
              <w:rPr>
                <w:rFonts w:ascii="Calibri" w:hAnsi="Calibri" w:eastAsia="Calibri" w:cs="Calibri"/>
                <w:b/>
                <w:bCs/>
                <w:color w:val="1C2733"/>
                <w:sz w:val="15"/>
                <w:szCs w:val="15"/>
              </w:rPr>
              <w:t>Consequence for my ranking</w:t>
            </w:r>
          </w:p>
        </w:tc>
      </w:tr>
      <w:tr w14:paraId="74247292">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4BC5DE57">
            <w:pPr>
              <w:spacing w:before="40" w:after="40" w:line="240" w:lineRule="auto"/>
              <w:jc w:val="left"/>
            </w:pPr>
            <w:r>
              <w:rPr>
                <w:rFonts w:ascii="Calibri" w:hAnsi="Calibri" w:eastAsia="Calibri" w:cs="Calibri"/>
                <w:color w:val="1C2733"/>
                <w:sz w:val="15"/>
                <w:szCs w:val="15"/>
              </w:rPr>
              <w:t>TP53 chr17:7,673,803 G&gt;A</w:t>
            </w:r>
          </w:p>
        </w:tc>
        <w:tc>
          <w:tcPr>
            <w:tcW w:w="2100" w:type="dxa"/>
            <w:tcMar>
              <w:top w:w="60" w:type="dxa"/>
              <w:left w:w="90" w:type="dxa"/>
              <w:bottom w:w="60" w:type="dxa"/>
              <w:right w:w="90" w:type="dxa"/>
            </w:tcMar>
          </w:tcPr>
          <w:p w14:paraId="52CEC5C4">
            <w:pPr>
              <w:spacing w:before="40" w:after="40" w:line="240" w:lineRule="auto"/>
              <w:jc w:val="left"/>
            </w:pPr>
            <w:r>
              <w:rPr>
                <w:rFonts w:ascii="Calibri" w:hAnsi="Calibri" w:eastAsia="Calibri" w:cs="Calibri"/>
                <w:color w:val="1C2733"/>
                <w:sz w:val="15"/>
                <w:szCs w:val="15"/>
              </w:rPr>
              <w:t>splice_acceptor_variant; Pathogenic; VCV000012345</w:t>
            </w:r>
          </w:p>
        </w:tc>
        <w:tc>
          <w:tcPr>
            <w:tcW w:w="3524" w:type="dxa"/>
            <w:tcMar>
              <w:top w:w="60" w:type="dxa"/>
              <w:left w:w="90" w:type="dxa"/>
              <w:bottom w:w="60" w:type="dxa"/>
              <w:right w:w="90" w:type="dxa"/>
            </w:tcMar>
          </w:tcPr>
          <w:p w14:paraId="5A035CD0">
            <w:pPr>
              <w:spacing w:before="40" w:after="40" w:line="240" w:lineRule="auto"/>
              <w:jc w:val="left"/>
            </w:pPr>
            <w:r>
              <w:rPr>
                <w:rFonts w:ascii="Calibri" w:hAnsi="Calibri" w:eastAsia="Calibri" w:cs="Calibri"/>
                <w:color w:val="1C2733"/>
                <w:sz w:val="15"/>
                <w:szCs w:val="15"/>
              </w:rPr>
              <w:t>Ensembl VEP (GRCh38): missense_variant, TP53 p.Arg273Cys on MANE ENST00000269305, rs121913343, SIFT deleterious; ClinVar classifications across submitters include pathogenic and likely pathogenic. Separately, VCV000012345 is not a TP53 record at all — it is TNFRSF1A NM_001065.4:c.295T&gt;A (p.Cys99Ser), associated with TRAPS.</w:t>
            </w:r>
          </w:p>
        </w:tc>
        <w:tc>
          <w:tcPr>
            <w:tcW w:w="2900" w:type="dxa"/>
            <w:tcMar>
              <w:top w:w="60" w:type="dxa"/>
              <w:left w:w="90" w:type="dxa"/>
              <w:bottom w:w="60" w:type="dxa"/>
              <w:right w:w="90" w:type="dxa"/>
            </w:tcMar>
          </w:tcPr>
          <w:p w14:paraId="1533B1A0">
            <w:pPr>
              <w:spacing w:before="40" w:after="40" w:line="240" w:lineRule="auto"/>
              <w:jc w:val="left"/>
            </w:pPr>
            <w:r>
              <w:rPr>
                <w:rFonts w:ascii="Calibri" w:hAnsi="Calibri" w:eastAsia="Calibri" w:cs="Calibri"/>
                <w:color w:val="1C2733"/>
                <w:sz w:val="15"/>
                <w:szCs w:val="15"/>
              </w:rPr>
              <w:t>Still ranked first, but for a different reason and with a different mechanism. A DNA-contact hotspot missense is not a splice defect, and the accession supplied as evidence points at an unrelated gene.</w:t>
            </w:r>
          </w:p>
        </w:tc>
      </w:tr>
      <w:tr w14:paraId="2863D2E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shd w:val="clear" w:color="auto" w:fill="F6F8FA"/>
            <w:tcMar>
              <w:top w:w="60" w:type="dxa"/>
              <w:left w:w="90" w:type="dxa"/>
              <w:bottom w:w="60" w:type="dxa"/>
              <w:right w:w="90" w:type="dxa"/>
            </w:tcMar>
          </w:tcPr>
          <w:p w14:paraId="5BBDCC57">
            <w:pPr>
              <w:spacing w:before="40" w:after="40" w:line="240" w:lineRule="auto"/>
              <w:jc w:val="left"/>
            </w:pPr>
            <w:r>
              <w:rPr>
                <w:rFonts w:ascii="Calibri" w:hAnsi="Calibri" w:eastAsia="Calibri" w:cs="Calibri"/>
                <w:color w:val="1C2733"/>
                <w:sz w:val="15"/>
                <w:szCs w:val="15"/>
              </w:rPr>
              <w:t>BRCA2 chr13:32,316,461 C&gt;T</w:t>
            </w:r>
          </w:p>
        </w:tc>
        <w:tc>
          <w:tcPr>
            <w:tcW w:w="2100" w:type="dxa"/>
            <w:shd w:val="clear" w:color="auto" w:fill="F6F8FA"/>
            <w:tcMar>
              <w:top w:w="60" w:type="dxa"/>
              <w:left w:w="90" w:type="dxa"/>
              <w:bottom w:w="60" w:type="dxa"/>
              <w:right w:w="90" w:type="dxa"/>
            </w:tcMar>
          </w:tcPr>
          <w:p w14:paraId="3FCFB0C7">
            <w:pPr>
              <w:spacing w:before="40" w:after="40" w:line="240" w:lineRule="auto"/>
              <w:jc w:val="left"/>
            </w:pPr>
            <w:r>
              <w:rPr>
                <w:rFonts w:ascii="Calibri" w:hAnsi="Calibri" w:eastAsia="Calibri" w:cs="Calibri"/>
                <w:color w:val="1C2733"/>
                <w:sz w:val="15"/>
                <w:szCs w:val="15"/>
              </w:rPr>
              <w:t>missense_variant; Uncertain_significance</w:t>
            </w:r>
          </w:p>
        </w:tc>
        <w:tc>
          <w:tcPr>
            <w:tcW w:w="3524" w:type="dxa"/>
            <w:shd w:val="clear" w:color="auto" w:fill="F6F8FA"/>
            <w:tcMar>
              <w:top w:w="60" w:type="dxa"/>
              <w:left w:w="90" w:type="dxa"/>
              <w:bottom w:w="60" w:type="dxa"/>
              <w:right w:w="90" w:type="dxa"/>
            </w:tcMar>
          </w:tcPr>
          <w:p w14:paraId="1CA03E8A">
            <w:pPr>
              <w:spacing w:before="40" w:after="40" w:line="240" w:lineRule="auto"/>
              <w:jc w:val="left"/>
            </w:pPr>
            <w:r>
              <w:rPr>
                <w:rFonts w:ascii="Calibri" w:hAnsi="Calibri" w:eastAsia="Calibri" w:cs="Calibri"/>
                <w:color w:val="1C2733"/>
                <w:sz w:val="15"/>
                <w:szCs w:val="15"/>
              </w:rPr>
              <w:t>Ensembl VEP (GRCh38): start_lost on MANE ENST00000380152 (p.Met1?), i.e. loss of the initiator codon.</w:t>
            </w:r>
          </w:p>
        </w:tc>
        <w:tc>
          <w:tcPr>
            <w:tcW w:w="2900" w:type="dxa"/>
            <w:shd w:val="clear" w:color="auto" w:fill="F6F8FA"/>
            <w:tcMar>
              <w:top w:w="60" w:type="dxa"/>
              <w:left w:w="90" w:type="dxa"/>
              <w:bottom w:w="60" w:type="dxa"/>
              <w:right w:w="90" w:type="dxa"/>
            </w:tcMar>
          </w:tcPr>
          <w:p w14:paraId="24AEFE32">
            <w:pPr>
              <w:spacing w:before="40" w:after="40" w:line="240" w:lineRule="auto"/>
              <w:jc w:val="left"/>
            </w:pPr>
            <w:r>
              <w:rPr>
                <w:rFonts w:ascii="Calibri" w:hAnsi="Calibri" w:eastAsia="Calibri" w:cs="Calibri"/>
                <w:color w:val="1C2733"/>
                <w:sz w:val="15"/>
                <w:szCs w:val="15"/>
              </w:rPr>
              <w:t>Promoted to rank 2. The supplied label understates the predicted impact; a start-loss in a loss-of-function gene is a far stronger candidate than a VUS missense.</w:t>
            </w:r>
          </w:p>
        </w:tc>
      </w:tr>
      <w:tr w14:paraId="3C2F1F4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33881F86">
            <w:pPr>
              <w:spacing w:before="40" w:after="40" w:line="240" w:lineRule="auto"/>
              <w:jc w:val="left"/>
            </w:pPr>
            <w:r>
              <w:rPr>
                <w:rFonts w:ascii="Calibri" w:hAnsi="Calibri" w:eastAsia="Calibri" w:cs="Calibri"/>
                <w:color w:val="1C2733"/>
                <w:sz w:val="15"/>
                <w:szCs w:val="15"/>
              </w:rPr>
              <w:t>KRAS chr12:25,398,284 C&gt;A</w:t>
            </w:r>
          </w:p>
        </w:tc>
        <w:tc>
          <w:tcPr>
            <w:tcW w:w="2100" w:type="dxa"/>
            <w:tcMar>
              <w:top w:w="60" w:type="dxa"/>
              <w:left w:w="90" w:type="dxa"/>
              <w:bottom w:w="60" w:type="dxa"/>
              <w:right w:w="90" w:type="dxa"/>
            </w:tcMar>
          </w:tcPr>
          <w:p w14:paraId="4350BE7E">
            <w:pPr>
              <w:spacing w:before="40" w:after="40" w:line="240" w:lineRule="auto"/>
              <w:jc w:val="left"/>
            </w:pPr>
            <w:r>
              <w:rPr>
                <w:rFonts w:ascii="Calibri" w:hAnsi="Calibri" w:eastAsia="Calibri" w:cs="Calibri"/>
                <w:color w:val="1C2733"/>
                <w:sz w:val="15"/>
                <w:szCs w:val="15"/>
              </w:rPr>
              <w:t>missense_variant in KRAS; Conflicting interpretations</w:t>
            </w:r>
          </w:p>
        </w:tc>
        <w:tc>
          <w:tcPr>
            <w:tcW w:w="3524" w:type="dxa"/>
            <w:tcMar>
              <w:top w:w="60" w:type="dxa"/>
              <w:left w:w="90" w:type="dxa"/>
              <w:bottom w:w="60" w:type="dxa"/>
              <w:right w:w="90" w:type="dxa"/>
            </w:tcMar>
          </w:tcPr>
          <w:p w14:paraId="219C77E0">
            <w:pPr>
              <w:spacing w:before="40" w:after="40" w:line="240" w:lineRule="auto"/>
              <w:jc w:val="left"/>
            </w:pPr>
            <w:r>
              <w:rPr>
                <w:rFonts w:ascii="Calibri" w:hAnsi="Calibri" w:eastAsia="Calibri" w:cs="Calibri"/>
                <w:color w:val="1C2733"/>
                <w:sz w:val="15"/>
                <w:szCs w:val="15"/>
              </w:rPr>
              <w:t>Ensembl: KRAS on GRCh38 spans chr12:25,205,246–25,326,473, so this position is outside the gene and VEP returns intergenic_variant. The coordinate is the GRCh37 position of the KRAS codon-12 hotspot.</w:t>
            </w:r>
          </w:p>
        </w:tc>
        <w:tc>
          <w:tcPr>
            <w:tcW w:w="2900" w:type="dxa"/>
            <w:tcMar>
              <w:top w:w="60" w:type="dxa"/>
              <w:left w:w="90" w:type="dxa"/>
              <w:bottom w:w="60" w:type="dxa"/>
              <w:right w:w="90" w:type="dxa"/>
            </w:tcMar>
          </w:tcPr>
          <w:p w14:paraId="7BFCB079">
            <w:pPr>
              <w:spacing w:before="40" w:after="40" w:line="240" w:lineRule="auto"/>
              <w:jc w:val="left"/>
            </w:pPr>
            <w:r>
              <w:rPr>
                <w:rFonts w:ascii="Calibri" w:hAnsi="Calibri" w:eastAsia="Calibri" w:cs="Calibri"/>
                <w:color w:val="1C2733"/>
                <w:sz w:val="15"/>
                <w:szCs w:val="15"/>
              </w:rPr>
              <w:t>Dropped from consideration. Under the declared build it is intergenic; under GRCh37 it is a canonical somatic oncogene hotspot, which belongs to a tumour analysis, not a germline one.</w:t>
            </w:r>
          </w:p>
        </w:tc>
      </w:tr>
      <w:tr w14:paraId="4CBAA1C0">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shd w:val="clear" w:color="auto" w:fill="F6F8FA"/>
            <w:tcMar>
              <w:top w:w="60" w:type="dxa"/>
              <w:left w:w="90" w:type="dxa"/>
              <w:bottom w:w="60" w:type="dxa"/>
              <w:right w:w="90" w:type="dxa"/>
            </w:tcMar>
          </w:tcPr>
          <w:p w14:paraId="47D178EC">
            <w:pPr>
              <w:spacing w:before="40" w:after="40" w:line="240" w:lineRule="auto"/>
              <w:jc w:val="left"/>
            </w:pPr>
            <w:r>
              <w:rPr>
                <w:rFonts w:ascii="Calibri" w:hAnsi="Calibri" w:eastAsia="Calibri" w:cs="Calibri"/>
                <w:color w:val="1C2733"/>
                <w:sz w:val="15"/>
                <w:szCs w:val="15"/>
              </w:rPr>
              <w:t>LDLR chr19:11,200,200 C&gt;T</w:t>
            </w:r>
          </w:p>
        </w:tc>
        <w:tc>
          <w:tcPr>
            <w:tcW w:w="2100" w:type="dxa"/>
            <w:shd w:val="clear" w:color="auto" w:fill="F6F8FA"/>
            <w:tcMar>
              <w:top w:w="60" w:type="dxa"/>
              <w:left w:w="90" w:type="dxa"/>
              <w:bottom w:w="60" w:type="dxa"/>
              <w:right w:w="90" w:type="dxa"/>
            </w:tcMar>
          </w:tcPr>
          <w:p w14:paraId="68BD1CED">
            <w:pPr>
              <w:spacing w:before="40" w:after="40" w:line="240" w:lineRule="auto"/>
              <w:jc w:val="left"/>
            </w:pPr>
            <w:r>
              <w:rPr>
                <w:rFonts w:ascii="Calibri" w:hAnsi="Calibri" w:eastAsia="Calibri" w:cs="Calibri"/>
                <w:color w:val="1C2733"/>
                <w:sz w:val="15"/>
                <w:szCs w:val="15"/>
              </w:rPr>
              <w:t>missense_variant in LDLR; Likely_benign</w:t>
            </w:r>
          </w:p>
        </w:tc>
        <w:tc>
          <w:tcPr>
            <w:tcW w:w="3524" w:type="dxa"/>
            <w:shd w:val="clear" w:color="auto" w:fill="F6F8FA"/>
            <w:tcMar>
              <w:top w:w="60" w:type="dxa"/>
              <w:left w:w="90" w:type="dxa"/>
              <w:bottom w:w="60" w:type="dxa"/>
              <w:right w:w="90" w:type="dxa"/>
            </w:tcMar>
          </w:tcPr>
          <w:p w14:paraId="0670D3B3">
            <w:pPr>
              <w:spacing w:before="40" w:after="40" w:line="240" w:lineRule="auto"/>
              <w:jc w:val="left"/>
            </w:pPr>
            <w:r>
              <w:rPr>
                <w:rFonts w:ascii="Calibri" w:hAnsi="Calibri" w:eastAsia="Calibri" w:cs="Calibri"/>
                <w:color w:val="1C2733"/>
                <w:sz w:val="15"/>
                <w:szCs w:val="15"/>
              </w:rPr>
              <w:t>Ensembl: LDLR on GRCh38 spans chr19:11,089,418–11,133,830; this position lies outside the gene and corresponds to the GRCh37 LDLR interval.</w:t>
            </w:r>
          </w:p>
        </w:tc>
        <w:tc>
          <w:tcPr>
            <w:tcW w:w="2900" w:type="dxa"/>
            <w:shd w:val="clear" w:color="auto" w:fill="F6F8FA"/>
            <w:tcMar>
              <w:top w:w="60" w:type="dxa"/>
              <w:left w:w="90" w:type="dxa"/>
              <w:bottom w:w="60" w:type="dxa"/>
              <w:right w:w="90" w:type="dxa"/>
            </w:tcMar>
          </w:tcPr>
          <w:p w14:paraId="2063D5AF">
            <w:pPr>
              <w:spacing w:before="40" w:after="40" w:line="240" w:lineRule="auto"/>
              <w:jc w:val="left"/>
            </w:pPr>
            <w:r>
              <w:rPr>
                <w:rFonts w:ascii="Calibri" w:hAnsi="Calibri" w:eastAsia="Calibri" w:cs="Calibri"/>
                <w:color w:val="1C2733"/>
                <w:sz w:val="15"/>
                <w:szCs w:val="15"/>
              </w:rPr>
              <w:t>Dropped — already the lowest-ranked by ClinVar label, and its coordinate does not resolve to LDLR in the stated build.</w:t>
            </w:r>
          </w:p>
        </w:tc>
      </w:tr>
      <w:tr w14:paraId="680BD19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tcMar>
              <w:top w:w="60" w:type="dxa"/>
              <w:left w:w="90" w:type="dxa"/>
              <w:bottom w:w="60" w:type="dxa"/>
              <w:right w:w="90" w:type="dxa"/>
            </w:tcMar>
          </w:tcPr>
          <w:p w14:paraId="4C469396">
            <w:pPr>
              <w:spacing w:before="40" w:after="40" w:line="240" w:lineRule="auto"/>
              <w:jc w:val="left"/>
            </w:pPr>
            <w:r>
              <w:rPr>
                <w:rFonts w:ascii="Calibri" w:hAnsi="Calibri" w:eastAsia="Calibri" w:cs="Calibri"/>
                <w:color w:val="1C2733"/>
                <w:sz w:val="15"/>
                <w:szCs w:val="15"/>
              </w:rPr>
              <w:t>F5 chr1:169,519,049 G&gt;A (excluded at the AF step)</w:t>
            </w:r>
          </w:p>
        </w:tc>
        <w:tc>
          <w:tcPr>
            <w:tcW w:w="2100" w:type="dxa"/>
            <w:tcMar>
              <w:top w:w="60" w:type="dxa"/>
              <w:left w:w="90" w:type="dxa"/>
              <w:bottom w:w="60" w:type="dxa"/>
              <w:right w:w="90" w:type="dxa"/>
            </w:tcMar>
          </w:tcPr>
          <w:p w14:paraId="107A202C">
            <w:pPr>
              <w:spacing w:before="40" w:after="40" w:line="240" w:lineRule="auto"/>
              <w:jc w:val="left"/>
            </w:pPr>
            <w:r>
              <w:rPr>
                <w:rFonts w:ascii="Calibri" w:hAnsi="Calibri" w:eastAsia="Calibri" w:cs="Calibri"/>
                <w:color w:val="1C2733"/>
                <w:sz w:val="15"/>
                <w:szCs w:val="15"/>
              </w:rPr>
              <w:t>missense_variant; Benign; AF = 0.42</w:t>
            </w:r>
          </w:p>
        </w:tc>
        <w:tc>
          <w:tcPr>
            <w:tcW w:w="3524" w:type="dxa"/>
            <w:tcMar>
              <w:top w:w="60" w:type="dxa"/>
              <w:left w:w="90" w:type="dxa"/>
              <w:bottom w:w="60" w:type="dxa"/>
              <w:right w:w="90" w:type="dxa"/>
            </w:tcMar>
          </w:tcPr>
          <w:p w14:paraId="209948BE">
            <w:pPr>
              <w:spacing w:before="40" w:after="40" w:line="240" w:lineRule="auto"/>
              <w:jc w:val="left"/>
            </w:pPr>
            <w:r>
              <w:rPr>
                <w:rFonts w:ascii="Calibri" w:hAnsi="Calibri" w:eastAsia="Calibri" w:cs="Calibri"/>
                <w:color w:val="1C2733"/>
                <w:sz w:val="15"/>
                <w:szCs w:val="15"/>
              </w:rPr>
              <w:t>chr1:169,519,049 is the GRCh37 coordinate of rs6025, Factor V Leiden (F5 c.1601G&gt;A, p.Arg534Gln); on GRCh38 that variant sits at chr1:169,549,811, and the supplied position, read under GRCh38, returns only an F5 intron_variant from VEP. ClinVar VCV000000642 classifies it as Pathogenic / risk factor for thrombophilia — not Benign — and gnomAD gives an allele frequency of ~0.017–0.022, not 0.42.</w:t>
            </w:r>
          </w:p>
        </w:tc>
        <w:tc>
          <w:tcPr>
            <w:tcW w:w="2900" w:type="dxa"/>
            <w:tcMar>
              <w:top w:w="60" w:type="dxa"/>
              <w:left w:w="90" w:type="dxa"/>
              <w:bottom w:w="60" w:type="dxa"/>
              <w:right w:w="90" w:type="dxa"/>
            </w:tcMar>
          </w:tcPr>
          <w:p w14:paraId="6A496867">
            <w:pPr>
              <w:spacing w:before="40" w:after="40" w:line="240" w:lineRule="auto"/>
              <w:jc w:val="left"/>
            </w:pPr>
            <w:r>
              <w:rPr>
                <w:rFonts w:ascii="Calibri" w:hAnsi="Calibri" w:eastAsia="Calibri" w:cs="Calibri"/>
                <w:color w:val="1C2733"/>
                <w:sz w:val="15"/>
                <w:szCs w:val="15"/>
              </w:rPr>
              <w:t>Confirms the exclusion for the wrong reason. It was excluded for being common; verification shows the row is internally inconsistent in build, in classification and in frequency. It is also the clearest demonstration that AF alone is an unsafe filter: Factor V Leiden is both common and clinically actionable.</w:t>
            </w:r>
          </w:p>
        </w:tc>
      </w:tr>
      <w:tr w14:paraId="52538DC2">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1700" w:type="dxa"/>
            <w:shd w:val="clear" w:color="auto" w:fill="F6F8FA"/>
            <w:tcMar>
              <w:top w:w="60" w:type="dxa"/>
              <w:left w:w="90" w:type="dxa"/>
              <w:bottom w:w="60" w:type="dxa"/>
              <w:right w:w="90" w:type="dxa"/>
            </w:tcMar>
          </w:tcPr>
          <w:p w14:paraId="1A4C584F">
            <w:pPr>
              <w:spacing w:before="40" w:after="40" w:line="240" w:lineRule="auto"/>
              <w:jc w:val="left"/>
            </w:pPr>
            <w:r>
              <w:rPr>
                <w:rFonts w:ascii="Calibri" w:hAnsi="Calibri" w:eastAsia="Calibri" w:cs="Calibri"/>
                <w:color w:val="1C2733"/>
                <w:sz w:val="15"/>
                <w:szCs w:val="15"/>
              </w:rPr>
              <w:t>Whole table</w:t>
            </w:r>
          </w:p>
        </w:tc>
        <w:tc>
          <w:tcPr>
            <w:tcW w:w="2100" w:type="dxa"/>
            <w:shd w:val="clear" w:color="auto" w:fill="F6F8FA"/>
            <w:tcMar>
              <w:top w:w="60" w:type="dxa"/>
              <w:left w:w="90" w:type="dxa"/>
              <w:bottom w:w="60" w:type="dxa"/>
              <w:right w:w="90" w:type="dxa"/>
            </w:tcMar>
          </w:tcPr>
          <w:p w14:paraId="4FABED04">
            <w:pPr>
              <w:spacing w:before="40" w:after="40" w:line="240" w:lineRule="auto"/>
              <w:jc w:val="left"/>
            </w:pPr>
            <w:r>
              <w:rPr>
                <w:rFonts w:ascii="Calibri" w:hAnsi="Calibri" w:eastAsia="Calibri" w:cs="Calibri"/>
                <w:color w:val="1C2733"/>
                <w:sz w:val="15"/>
                <w:szCs w:val="15"/>
              </w:rPr>
              <w:t>One coherent coordinate system (implied)</w:t>
            </w:r>
          </w:p>
        </w:tc>
        <w:tc>
          <w:tcPr>
            <w:tcW w:w="3524" w:type="dxa"/>
            <w:shd w:val="clear" w:color="auto" w:fill="F6F8FA"/>
            <w:tcMar>
              <w:top w:w="60" w:type="dxa"/>
              <w:left w:w="90" w:type="dxa"/>
              <w:bottom w:w="60" w:type="dxa"/>
              <w:right w:w="90" w:type="dxa"/>
            </w:tcMar>
          </w:tcPr>
          <w:p w14:paraId="1149C184">
            <w:pPr>
              <w:spacing w:before="40" w:after="40" w:line="240" w:lineRule="auto"/>
              <w:jc w:val="left"/>
            </w:pPr>
            <w:r>
              <w:rPr>
                <w:rFonts w:ascii="Calibri" w:hAnsi="Calibri" w:eastAsia="Calibri" w:cs="Calibri"/>
                <w:color w:val="1C2733"/>
                <w:sz w:val="15"/>
                <w:szCs w:val="15"/>
              </w:rPr>
              <w:t>Spot-checks resolve TP53, BRCA2, MSH2, ATM and HLA-A positions inside their genes on GRCh38, while CFTR, KRAS, LDLR and F5 positions correspond to GRCh37 intervals, and chrX:153,870,000 falls inside MECP2 in neither build. No genome build is declared anywhere in the file.</w:t>
            </w:r>
          </w:p>
        </w:tc>
        <w:tc>
          <w:tcPr>
            <w:tcW w:w="2900" w:type="dxa"/>
            <w:shd w:val="clear" w:color="auto" w:fill="F6F8FA"/>
            <w:tcMar>
              <w:top w:w="60" w:type="dxa"/>
              <w:left w:w="90" w:type="dxa"/>
              <w:bottom w:w="60" w:type="dxa"/>
              <w:right w:w="90" w:type="dxa"/>
            </w:tcMar>
          </w:tcPr>
          <w:p w14:paraId="4E9D95ED">
            <w:pPr>
              <w:spacing w:before="40" w:after="40" w:line="240" w:lineRule="auto"/>
              <w:jc w:val="left"/>
            </w:pPr>
            <w:r>
              <w:rPr>
                <w:rFonts w:ascii="Calibri" w:hAnsi="Calibri" w:eastAsia="Calibri" w:cs="Calibri"/>
                <w:color w:val="1C2733"/>
                <w:sz w:val="15"/>
                <w:szCs w:val="15"/>
              </w:rPr>
              <w:t>No ranking derived from this table can be reported without first re-calling or lifting over to a single declared build. This is the single most important finding of the question.</w:t>
            </w:r>
          </w:p>
        </w:tc>
      </w:tr>
    </w:tbl>
    <w:p w14:paraId="0393941A">
      <w:pPr>
        <w:spacing w:before="60" w:after="100" w:line="276" w:lineRule="auto"/>
        <w:jc w:val="left"/>
      </w:pPr>
      <w:r>
        <w:rPr>
          <w:rFonts w:ascii="Calibri" w:hAnsi="Calibri" w:eastAsia="Calibri" w:cs="Calibri"/>
          <w:b/>
          <w:bCs/>
          <w:color w:val="1C2733"/>
          <w:sz w:val="21"/>
          <w:szCs w:val="21"/>
        </w:rPr>
        <w:t xml:space="preserve">Sources used for verification (≥ 2 required; six were used): </w:t>
      </w:r>
      <w:r>
        <w:rPr>
          <w:rFonts w:ascii="Calibri" w:hAnsi="Calibri" w:eastAsia="Calibri" w:cs="Calibri"/>
          <w:color w:val="1C2733"/>
          <w:sz w:val="21"/>
          <w:szCs w:val="21"/>
        </w:rPr>
        <w:t>Ensembl REST lookup and Ensembl VEP (GRCh38, release 116); NCBI ClinVar record pages (VCV000000642, VCV000012345); dbSNP (rs6025, rs121913343); gnomAD v4.1.1 allele frequencies as reported on the ClinVar record; NCBI GRC assembly documentation for build coordinates; and the ACMG/AMP 2015 guideline with the ClinGen SVI specifications for the classification framework.</w:t>
      </w:r>
    </w:p>
    <w:p w14:paraId="1B0D4578">
      <w:pPr>
        <w:pStyle w:val="4"/>
        <w:spacing w:before="200" w:after="80"/>
      </w:pPr>
      <w:r>
        <w:rPr>
          <w:rFonts w:ascii="Calibri" w:hAnsi="Calibri" w:eastAsia="Calibri" w:cs="Calibri"/>
          <w:b/>
          <w:bCs/>
          <w:color w:val="4A7C3F"/>
          <w:sz w:val="21"/>
          <w:szCs w:val="21"/>
        </w:rPr>
        <w:t>3.3  Evidence ladder for the top variant</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2600"/>
        <w:gridCol w:w="7624"/>
      </w:tblGrid>
      <w:tr w14:paraId="0E1AAEF9">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2600" w:type="dxa"/>
            <w:shd w:val="clear" w:color="auto" w:fill="DCE7F1"/>
            <w:tcMar>
              <w:top w:w="60" w:type="dxa"/>
              <w:left w:w="90" w:type="dxa"/>
              <w:bottom w:w="60" w:type="dxa"/>
              <w:right w:w="90" w:type="dxa"/>
            </w:tcMar>
          </w:tcPr>
          <w:p w14:paraId="794A83E3">
            <w:pPr>
              <w:spacing w:before="40" w:after="40" w:line="240" w:lineRule="auto"/>
              <w:jc w:val="left"/>
            </w:pPr>
            <w:r>
              <w:rPr>
                <w:rFonts w:ascii="Calibri" w:hAnsi="Calibri" w:eastAsia="Calibri" w:cs="Calibri"/>
                <w:b/>
                <w:bCs/>
                <w:color w:val="1C2733"/>
                <w:sz w:val="16"/>
                <w:szCs w:val="16"/>
              </w:rPr>
              <w:t>Stage</w:t>
            </w:r>
          </w:p>
        </w:tc>
        <w:tc>
          <w:tcPr>
            <w:tcW w:w="7624" w:type="dxa"/>
            <w:shd w:val="clear" w:color="auto" w:fill="DCE7F1"/>
            <w:tcMar>
              <w:top w:w="60" w:type="dxa"/>
              <w:left w:w="90" w:type="dxa"/>
              <w:bottom w:w="60" w:type="dxa"/>
              <w:right w:w="90" w:type="dxa"/>
            </w:tcMar>
          </w:tcPr>
          <w:p w14:paraId="691B1EF6">
            <w:pPr>
              <w:spacing w:before="40" w:after="40" w:line="240" w:lineRule="auto"/>
              <w:jc w:val="left"/>
            </w:pPr>
            <w:r>
              <w:rPr>
                <w:rFonts w:ascii="Calibri" w:hAnsi="Calibri" w:eastAsia="Calibri" w:cs="Calibri"/>
                <w:b/>
                <w:bCs/>
                <w:color w:val="1C2733"/>
                <w:sz w:val="16"/>
                <w:szCs w:val="16"/>
              </w:rPr>
              <w:t>Content</w:t>
            </w:r>
          </w:p>
        </w:tc>
      </w:tr>
      <w:tr w14:paraId="1DB1DA9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096FB0F3">
            <w:pPr>
              <w:spacing w:before="40" w:after="40" w:line="240" w:lineRule="auto"/>
              <w:jc w:val="left"/>
            </w:pPr>
            <w:r>
              <w:rPr>
                <w:rFonts w:ascii="Calibri" w:hAnsi="Calibri" w:eastAsia="Calibri" w:cs="Calibri"/>
                <w:b/>
                <w:bCs/>
                <w:color w:val="1C2733"/>
                <w:sz w:val="16"/>
                <w:szCs w:val="16"/>
              </w:rPr>
              <w:t>Known evidence (database and data facts)</w:t>
            </w:r>
          </w:p>
        </w:tc>
        <w:tc>
          <w:tcPr>
            <w:tcW w:w="7624" w:type="dxa"/>
            <w:tcMar>
              <w:top w:w="60" w:type="dxa"/>
              <w:left w:w="90" w:type="dxa"/>
              <w:bottom w:w="60" w:type="dxa"/>
              <w:right w:w="90" w:type="dxa"/>
            </w:tcMar>
          </w:tcPr>
          <w:p w14:paraId="1EA554FE">
            <w:pPr>
              <w:spacing w:before="40" w:after="40" w:line="240" w:lineRule="auto"/>
              <w:jc w:val="left"/>
            </w:pPr>
            <w:r>
              <w:rPr>
                <w:rFonts w:ascii="Calibri" w:hAnsi="Calibri" w:eastAsia="Calibri" w:cs="Calibri"/>
                <w:b w:val="0"/>
                <w:bCs w:val="0"/>
                <w:color w:val="1C2733"/>
                <w:sz w:val="16"/>
                <w:szCs w:val="16"/>
              </w:rPr>
              <w:t>chr17:7,673,803 G&gt;A passes FILTER at DP 80 and GQ 99, with AF 1e-5 in the supplied table. Independently re-annotated on GRCh38, it is TP53 p.Arg273Cys (rs121913343) on MANE transcript ENST00000269305; SIFT scores it deleterious; ClinVar carries pathogenic and likely-pathogenic submissions for this variant, and it is a recurrent COSMIC hotspot. R273 is one of the residues that contacts DNA directly in the p53 DNA-binding domain.</w:t>
            </w:r>
          </w:p>
        </w:tc>
      </w:tr>
      <w:tr w14:paraId="4B63A72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4FB88388">
            <w:pPr>
              <w:spacing w:before="40" w:after="40" w:line="240" w:lineRule="auto"/>
              <w:jc w:val="left"/>
            </w:pPr>
            <w:r>
              <w:rPr>
                <w:rFonts w:ascii="Calibri" w:hAnsi="Calibri" w:eastAsia="Calibri" w:cs="Calibri"/>
                <w:b/>
                <w:bCs/>
                <w:color w:val="1C2733"/>
                <w:sz w:val="16"/>
                <w:szCs w:val="16"/>
              </w:rPr>
              <w:t>Computational inference</w:t>
            </w:r>
          </w:p>
        </w:tc>
        <w:tc>
          <w:tcPr>
            <w:tcW w:w="7624" w:type="dxa"/>
            <w:shd w:val="clear" w:color="auto" w:fill="F6F8FA"/>
            <w:tcMar>
              <w:top w:w="60" w:type="dxa"/>
              <w:left w:w="90" w:type="dxa"/>
              <w:bottom w:w="60" w:type="dxa"/>
              <w:right w:w="90" w:type="dxa"/>
            </w:tcMar>
          </w:tcPr>
          <w:p w14:paraId="07118263">
            <w:pPr>
              <w:spacing w:before="40" w:after="40" w:line="240" w:lineRule="auto"/>
              <w:jc w:val="left"/>
            </w:pPr>
            <w:r>
              <w:rPr>
                <w:rFonts w:ascii="Calibri" w:hAnsi="Calibri" w:eastAsia="Calibri" w:cs="Calibri"/>
                <w:b w:val="0"/>
                <w:bCs w:val="0"/>
                <w:color w:val="1C2733"/>
                <w:sz w:val="16"/>
                <w:szCs w:val="16"/>
              </w:rPr>
              <w:t>Substitution of a DNA-contacting arginine is predicted to abolish sequence-specific DNA binding without destabilising the protein fold, i.e. a contact mutant rather than a structural mutant. The technical metrics give no reason to suspect a calling artefact; the quality of this call is the best in the table.</w:t>
            </w:r>
          </w:p>
        </w:tc>
      </w:tr>
      <w:tr w14:paraId="5461E5DC">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tcMar>
              <w:top w:w="60" w:type="dxa"/>
              <w:left w:w="90" w:type="dxa"/>
              <w:bottom w:w="60" w:type="dxa"/>
              <w:right w:w="90" w:type="dxa"/>
            </w:tcMar>
          </w:tcPr>
          <w:p w14:paraId="5D569200">
            <w:pPr>
              <w:spacing w:before="40" w:after="40" w:line="240" w:lineRule="auto"/>
              <w:jc w:val="left"/>
            </w:pPr>
            <w:r>
              <w:rPr>
                <w:rFonts w:ascii="Calibri" w:hAnsi="Calibri" w:eastAsia="Calibri" w:cs="Calibri"/>
                <w:b/>
                <w:bCs/>
                <w:color w:val="1C2733"/>
                <w:sz w:val="16"/>
                <w:szCs w:val="16"/>
              </w:rPr>
              <w:t>Scientific hypothesis</w:t>
            </w:r>
          </w:p>
        </w:tc>
        <w:tc>
          <w:tcPr>
            <w:tcW w:w="7624" w:type="dxa"/>
            <w:tcMar>
              <w:top w:w="60" w:type="dxa"/>
              <w:left w:w="90" w:type="dxa"/>
              <w:bottom w:w="60" w:type="dxa"/>
              <w:right w:w="90" w:type="dxa"/>
            </w:tcMar>
          </w:tcPr>
          <w:p w14:paraId="7230E286">
            <w:pPr>
              <w:spacing w:before="40" w:after="40" w:line="240" w:lineRule="auto"/>
              <w:jc w:val="left"/>
            </w:pPr>
            <w:r>
              <w:rPr>
                <w:rFonts w:ascii="Calibri" w:hAnsi="Calibri" w:eastAsia="Calibri" w:cs="Calibri"/>
                <w:b w:val="0"/>
                <w:bCs w:val="0"/>
                <w:color w:val="1C2733"/>
                <w:sz w:val="16"/>
                <w:szCs w:val="16"/>
              </w:rPr>
              <w:t>This allele reduces or abolishes p53 sequence-specific transactivation, impairing the p53-dependent DNA-damage response. If it is germline, it is a Li-Fraumeni-type cancer-predisposition hypothesis; if it is somatic or clonal, it is a tumour-biology observation that happens to appear in a germline-framed file. The data as supplied cannot distinguish those two.</w:t>
            </w:r>
          </w:p>
        </w:tc>
      </w:tr>
      <w:tr w14:paraId="50977CE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2600" w:type="dxa"/>
            <w:shd w:val="clear" w:color="auto" w:fill="F6F8FA"/>
            <w:tcMar>
              <w:top w:w="60" w:type="dxa"/>
              <w:left w:w="90" w:type="dxa"/>
              <w:bottom w:w="60" w:type="dxa"/>
              <w:right w:w="90" w:type="dxa"/>
            </w:tcMar>
          </w:tcPr>
          <w:p w14:paraId="0B3E5F1A">
            <w:pPr>
              <w:spacing w:before="40" w:after="40" w:line="240" w:lineRule="auto"/>
              <w:jc w:val="left"/>
            </w:pPr>
            <w:r>
              <w:rPr>
                <w:rFonts w:ascii="Calibri" w:hAnsi="Calibri" w:eastAsia="Calibri" w:cs="Calibri"/>
                <w:b/>
                <w:bCs/>
                <w:color w:val="1C2733"/>
                <w:sz w:val="16"/>
                <w:szCs w:val="16"/>
              </w:rPr>
              <w:t>Required experiment</w:t>
            </w:r>
          </w:p>
        </w:tc>
        <w:tc>
          <w:tcPr>
            <w:tcW w:w="7624" w:type="dxa"/>
            <w:shd w:val="clear" w:color="auto" w:fill="F6F8FA"/>
            <w:tcMar>
              <w:top w:w="60" w:type="dxa"/>
              <w:left w:w="90" w:type="dxa"/>
              <w:bottom w:w="60" w:type="dxa"/>
              <w:right w:w="90" w:type="dxa"/>
            </w:tcMar>
          </w:tcPr>
          <w:p w14:paraId="1CFCDA51">
            <w:pPr>
              <w:spacing w:before="40" w:after="40" w:line="240" w:lineRule="auto"/>
              <w:jc w:val="left"/>
            </w:pPr>
            <w:r>
              <w:rPr>
                <w:rFonts w:ascii="Calibri" w:hAnsi="Calibri" w:eastAsia="Calibri" w:cs="Calibri"/>
                <w:b w:val="0"/>
                <w:bCs w:val="0"/>
                <w:color w:val="1C2733"/>
                <w:sz w:val="16"/>
                <w:szCs w:val="16"/>
              </w:rPr>
              <w:t>First, orthogonal confirmation and germline proof: Sanger or a second chemistry, plus sequencing of a non-haematopoietic tissue (cultured fibroblasts or buccal DNA) at high depth, with allelic fraction reported — a germline heterozygote sits near 0.5, clonal haematopoiesis sits well below it. Then functional evidence: a p53 transactivation reporter assay for the R273C allele against wild-type and a known-null control, and, where relevant tissue exists, p21/MDM2 target-gene induction after DNA damage. Formal classification follows under ACMG/AMP with the ClinGen SVI specifications, not from the label shipped in the table.</w:t>
            </w:r>
          </w:p>
        </w:tc>
      </w:tr>
    </w:tbl>
    <w:p w14:paraId="0B54F82B">
      <w:pPr>
        <w:pStyle w:val="4"/>
        <w:spacing w:before="200" w:after="80"/>
      </w:pPr>
      <w:r>
        <w:rPr>
          <w:rFonts w:ascii="Calibri" w:hAnsi="Calibri" w:eastAsia="Calibri" w:cs="Calibri"/>
          <w:b/>
          <w:bCs/>
          <w:color w:val="4A7C3F"/>
          <w:sz w:val="21"/>
          <w:szCs w:val="21"/>
        </w:rPr>
        <w:t>3.4  False-lead critique</w:t>
      </w:r>
    </w:p>
    <w:p w14:paraId="71F05211">
      <w:pPr>
        <w:spacing w:before="60" w:after="100" w:line="276" w:lineRule="auto"/>
        <w:jc w:val="left"/>
      </w:pPr>
      <w:r>
        <w:rPr>
          <w:rFonts w:ascii="Calibri" w:hAnsi="Calibri" w:eastAsia="Calibri" w:cs="Calibri"/>
          <w:color w:val="1C2733"/>
          <w:sz w:val="21"/>
          <w:szCs w:val="21"/>
        </w:rPr>
        <w:t>I asked the model for the strongest reasons my top variant could be a false lead, then decided which concerns are scientifically serious and which are not.</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3700"/>
        <w:gridCol w:w="1500"/>
        <w:gridCol w:w="5024"/>
      </w:tblGrid>
      <w:tr w14:paraId="7CAE083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3700" w:type="dxa"/>
            <w:shd w:val="clear" w:color="auto" w:fill="DCE7F1"/>
            <w:tcMar>
              <w:top w:w="60" w:type="dxa"/>
              <w:left w:w="90" w:type="dxa"/>
              <w:bottom w:w="60" w:type="dxa"/>
              <w:right w:w="90" w:type="dxa"/>
            </w:tcMar>
          </w:tcPr>
          <w:p w14:paraId="67EE15D2">
            <w:pPr>
              <w:spacing w:before="40" w:after="40" w:line="240" w:lineRule="auto"/>
              <w:jc w:val="left"/>
            </w:pPr>
            <w:r>
              <w:rPr>
                <w:rFonts w:ascii="Calibri" w:hAnsi="Calibri" w:eastAsia="Calibri" w:cs="Calibri"/>
                <w:b/>
                <w:bCs/>
                <w:color w:val="1C2733"/>
                <w:sz w:val="15"/>
                <w:szCs w:val="15"/>
              </w:rPr>
              <w:t>Concern raised</w:t>
            </w:r>
          </w:p>
        </w:tc>
        <w:tc>
          <w:tcPr>
            <w:tcW w:w="1500" w:type="dxa"/>
            <w:shd w:val="clear" w:color="auto" w:fill="DCE7F1"/>
            <w:tcMar>
              <w:top w:w="60" w:type="dxa"/>
              <w:left w:w="90" w:type="dxa"/>
              <w:bottom w:w="60" w:type="dxa"/>
              <w:right w:w="90" w:type="dxa"/>
            </w:tcMar>
          </w:tcPr>
          <w:p w14:paraId="78D1541D">
            <w:pPr>
              <w:spacing w:before="40" w:after="40" w:line="240" w:lineRule="auto"/>
              <w:jc w:val="left"/>
            </w:pPr>
            <w:r>
              <w:rPr>
                <w:rFonts w:ascii="Calibri" w:hAnsi="Calibri" w:eastAsia="Calibri" w:cs="Calibri"/>
                <w:b/>
                <w:bCs/>
                <w:color w:val="1C2733"/>
                <w:sz w:val="15"/>
                <w:szCs w:val="15"/>
              </w:rPr>
              <w:t>Serious?</w:t>
            </w:r>
          </w:p>
        </w:tc>
        <w:tc>
          <w:tcPr>
            <w:tcW w:w="5024" w:type="dxa"/>
            <w:shd w:val="clear" w:color="auto" w:fill="DCE7F1"/>
            <w:tcMar>
              <w:top w:w="60" w:type="dxa"/>
              <w:left w:w="90" w:type="dxa"/>
              <w:bottom w:w="60" w:type="dxa"/>
              <w:right w:w="90" w:type="dxa"/>
            </w:tcMar>
          </w:tcPr>
          <w:p w14:paraId="6BDA7694">
            <w:pPr>
              <w:spacing w:before="40" w:after="40" w:line="240" w:lineRule="auto"/>
              <w:jc w:val="left"/>
            </w:pPr>
            <w:r>
              <w:rPr>
                <w:rFonts w:ascii="Calibri" w:hAnsi="Calibri" w:eastAsia="Calibri" w:cs="Calibri"/>
                <w:b/>
                <w:bCs/>
                <w:color w:val="1C2733"/>
                <w:sz w:val="15"/>
                <w:szCs w:val="15"/>
              </w:rPr>
              <w:t>My judgement</w:t>
            </w:r>
          </w:p>
        </w:tc>
      </w:tr>
      <w:tr w14:paraId="4FF2F64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tcMar>
              <w:top w:w="60" w:type="dxa"/>
              <w:left w:w="90" w:type="dxa"/>
              <w:bottom w:w="60" w:type="dxa"/>
              <w:right w:w="90" w:type="dxa"/>
            </w:tcMar>
          </w:tcPr>
          <w:p w14:paraId="7CFE4540">
            <w:pPr>
              <w:spacing w:before="40" w:after="40" w:line="240" w:lineRule="auto"/>
              <w:jc w:val="left"/>
            </w:pPr>
            <w:r>
              <w:rPr>
                <w:rFonts w:ascii="Calibri" w:hAnsi="Calibri" w:eastAsia="Calibri" w:cs="Calibri"/>
                <w:color w:val="1C2733"/>
                <w:sz w:val="15"/>
                <w:szCs w:val="15"/>
              </w:rPr>
              <w:t>R273C is overwhelmingly a somatic hotspot; this could be clonal haematopoiesis or tumour-in-normal contamination rather than a germline variant</w:t>
            </w:r>
          </w:p>
        </w:tc>
        <w:tc>
          <w:tcPr>
            <w:tcW w:w="1500" w:type="dxa"/>
            <w:tcMar>
              <w:top w:w="60" w:type="dxa"/>
              <w:left w:w="90" w:type="dxa"/>
              <w:bottom w:w="60" w:type="dxa"/>
              <w:right w:w="90" w:type="dxa"/>
            </w:tcMar>
          </w:tcPr>
          <w:p w14:paraId="1BF9D646">
            <w:pPr>
              <w:spacing w:before="40" w:after="40" w:line="240" w:lineRule="auto"/>
              <w:jc w:val="left"/>
            </w:pPr>
            <w:r>
              <w:rPr>
                <w:rFonts w:ascii="Calibri" w:hAnsi="Calibri" w:eastAsia="Calibri" w:cs="Calibri"/>
                <w:color w:val="1C2733"/>
                <w:sz w:val="15"/>
                <w:szCs w:val="15"/>
              </w:rPr>
              <w:t>Yes — the decisive concern</w:t>
            </w:r>
          </w:p>
        </w:tc>
        <w:tc>
          <w:tcPr>
            <w:tcW w:w="5024" w:type="dxa"/>
            <w:tcMar>
              <w:top w:w="60" w:type="dxa"/>
              <w:left w:w="90" w:type="dxa"/>
              <w:bottom w:w="60" w:type="dxa"/>
              <w:right w:w="90" w:type="dxa"/>
            </w:tcMar>
          </w:tcPr>
          <w:p w14:paraId="706B988A">
            <w:pPr>
              <w:spacing w:before="40" w:after="40" w:line="240" w:lineRule="auto"/>
              <w:jc w:val="left"/>
            </w:pPr>
            <w:r>
              <w:rPr>
                <w:rFonts w:ascii="Calibri" w:hAnsi="Calibri" w:eastAsia="Calibri" w:cs="Calibri"/>
                <w:color w:val="1C2733"/>
                <w:sz w:val="15"/>
                <w:szCs w:val="15"/>
              </w:rPr>
              <w:t>This is the strongest objection and it cannot be answered with the data provided, because the table has no allelic-depth or VAF column. A germline heterozygote and a 10% clonal population look identical in DP, GQ and AF as tabulated. Resolving it is the first item in my required-experiment list.</w:t>
            </w:r>
          </w:p>
        </w:tc>
      </w:tr>
      <w:tr w14:paraId="18E9D3CB">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shd w:val="clear" w:color="auto" w:fill="F6F8FA"/>
            <w:tcMar>
              <w:top w:w="60" w:type="dxa"/>
              <w:left w:w="90" w:type="dxa"/>
              <w:bottom w:w="60" w:type="dxa"/>
              <w:right w:w="90" w:type="dxa"/>
            </w:tcMar>
          </w:tcPr>
          <w:p w14:paraId="7F8B8FCF">
            <w:pPr>
              <w:spacing w:before="40" w:after="40" w:line="240" w:lineRule="auto"/>
              <w:jc w:val="left"/>
            </w:pPr>
            <w:r>
              <w:rPr>
                <w:rFonts w:ascii="Calibri" w:hAnsi="Calibri" w:eastAsia="Calibri" w:cs="Calibri"/>
                <w:color w:val="1C2733"/>
                <w:sz w:val="15"/>
                <w:szCs w:val="15"/>
              </w:rPr>
              <w:t>The supplied CONSEQUENCE (splice_acceptor_variant) is wrong under GRCh38</w:t>
            </w:r>
          </w:p>
        </w:tc>
        <w:tc>
          <w:tcPr>
            <w:tcW w:w="1500" w:type="dxa"/>
            <w:shd w:val="clear" w:color="auto" w:fill="F6F8FA"/>
            <w:tcMar>
              <w:top w:w="60" w:type="dxa"/>
              <w:left w:w="90" w:type="dxa"/>
              <w:bottom w:w="60" w:type="dxa"/>
              <w:right w:w="90" w:type="dxa"/>
            </w:tcMar>
          </w:tcPr>
          <w:p w14:paraId="648EBEE2">
            <w:pPr>
              <w:spacing w:before="40" w:after="40" w:line="240" w:lineRule="auto"/>
              <w:jc w:val="left"/>
            </w:pPr>
            <w:r>
              <w:rPr>
                <w:rFonts w:ascii="Calibri" w:hAnsi="Calibri" w:eastAsia="Calibri" w:cs="Calibri"/>
                <w:color w:val="1C2733"/>
                <w:sz w:val="15"/>
                <w:szCs w:val="15"/>
              </w:rPr>
              <w:t>Yes</w:t>
            </w:r>
          </w:p>
        </w:tc>
        <w:tc>
          <w:tcPr>
            <w:tcW w:w="5024" w:type="dxa"/>
            <w:shd w:val="clear" w:color="auto" w:fill="F6F8FA"/>
            <w:tcMar>
              <w:top w:w="60" w:type="dxa"/>
              <w:left w:w="90" w:type="dxa"/>
              <w:bottom w:w="60" w:type="dxa"/>
              <w:right w:w="90" w:type="dxa"/>
            </w:tcMar>
          </w:tcPr>
          <w:p w14:paraId="30F383B9">
            <w:pPr>
              <w:spacing w:before="40" w:after="40" w:line="240" w:lineRule="auto"/>
              <w:jc w:val="left"/>
            </w:pPr>
            <w:r>
              <w:rPr>
                <w:rFonts w:ascii="Calibri" w:hAnsi="Calibri" w:eastAsia="Calibri" w:cs="Calibri"/>
                <w:color w:val="1C2733"/>
                <w:sz w:val="15"/>
                <w:szCs w:val="15"/>
              </w:rPr>
              <w:t>Verified wrong. It does not remove the variant from the shortlist, but it does mean the mechanism I would have written down from the table — a splicing defect — is not the mechanism the sequence supports. Any downstream assay designed from that label would have been the wrong assay.</w:t>
            </w:r>
          </w:p>
        </w:tc>
      </w:tr>
      <w:tr w14:paraId="26DA1F5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tcMar>
              <w:top w:w="60" w:type="dxa"/>
              <w:left w:w="90" w:type="dxa"/>
              <w:bottom w:w="60" w:type="dxa"/>
              <w:right w:w="90" w:type="dxa"/>
            </w:tcMar>
          </w:tcPr>
          <w:p w14:paraId="131B8578">
            <w:pPr>
              <w:spacing w:before="40" w:after="40" w:line="240" w:lineRule="auto"/>
              <w:jc w:val="left"/>
            </w:pPr>
            <w:r>
              <w:rPr>
                <w:rFonts w:ascii="Calibri" w:hAnsi="Calibri" w:eastAsia="Calibri" w:cs="Calibri"/>
                <w:color w:val="1C2733"/>
                <w:sz w:val="15"/>
                <w:szCs w:val="15"/>
              </w:rPr>
              <w:t>The supplied CLINVAR_ID does not correspond to this variant</w:t>
            </w:r>
          </w:p>
        </w:tc>
        <w:tc>
          <w:tcPr>
            <w:tcW w:w="1500" w:type="dxa"/>
            <w:tcMar>
              <w:top w:w="60" w:type="dxa"/>
              <w:left w:w="90" w:type="dxa"/>
              <w:bottom w:w="60" w:type="dxa"/>
              <w:right w:w="90" w:type="dxa"/>
            </w:tcMar>
          </w:tcPr>
          <w:p w14:paraId="421C643D">
            <w:pPr>
              <w:spacing w:before="40" w:after="40" w:line="240" w:lineRule="auto"/>
              <w:jc w:val="left"/>
            </w:pPr>
            <w:r>
              <w:rPr>
                <w:rFonts w:ascii="Calibri" w:hAnsi="Calibri" w:eastAsia="Calibri" w:cs="Calibri"/>
                <w:color w:val="1C2733"/>
                <w:sz w:val="15"/>
                <w:szCs w:val="15"/>
              </w:rPr>
              <w:t>Yes</w:t>
            </w:r>
          </w:p>
        </w:tc>
        <w:tc>
          <w:tcPr>
            <w:tcW w:w="5024" w:type="dxa"/>
            <w:tcMar>
              <w:top w:w="60" w:type="dxa"/>
              <w:left w:w="90" w:type="dxa"/>
              <w:bottom w:w="60" w:type="dxa"/>
              <w:right w:w="90" w:type="dxa"/>
            </w:tcMar>
          </w:tcPr>
          <w:p w14:paraId="51ECCC35">
            <w:pPr>
              <w:spacing w:before="40" w:after="40" w:line="240" w:lineRule="auto"/>
              <w:jc w:val="left"/>
            </w:pPr>
            <w:r>
              <w:rPr>
                <w:rFonts w:ascii="Calibri" w:hAnsi="Calibri" w:eastAsia="Calibri" w:cs="Calibri"/>
                <w:color w:val="1C2733"/>
                <w:sz w:val="15"/>
                <w:szCs w:val="15"/>
              </w:rPr>
              <w:t>Verified: VCV000012345 is a TNFRSF1A record. The identifier is a placeholder, and the README says so, but in a real submission this is the class of error that makes a report unciteable. It also means the "Pathogenic" label in the table is unsourced as given.</w:t>
            </w:r>
          </w:p>
        </w:tc>
      </w:tr>
      <w:tr w14:paraId="0E38A747">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shd w:val="clear" w:color="auto" w:fill="F6F8FA"/>
            <w:tcMar>
              <w:top w:w="60" w:type="dxa"/>
              <w:left w:w="90" w:type="dxa"/>
              <w:bottom w:w="60" w:type="dxa"/>
              <w:right w:w="90" w:type="dxa"/>
            </w:tcMar>
          </w:tcPr>
          <w:p w14:paraId="5A269864">
            <w:pPr>
              <w:spacing w:before="40" w:after="40" w:line="240" w:lineRule="auto"/>
              <w:jc w:val="left"/>
            </w:pPr>
            <w:r>
              <w:rPr>
                <w:rFonts w:ascii="Calibri" w:hAnsi="Calibri" w:eastAsia="Calibri" w:cs="Calibri"/>
                <w:color w:val="1C2733"/>
                <w:sz w:val="15"/>
                <w:szCs w:val="15"/>
              </w:rPr>
              <w:t>AF = 1e-5 is asserted without a named frequency database or population</w:t>
            </w:r>
          </w:p>
        </w:tc>
        <w:tc>
          <w:tcPr>
            <w:tcW w:w="1500" w:type="dxa"/>
            <w:shd w:val="clear" w:color="auto" w:fill="F6F8FA"/>
            <w:tcMar>
              <w:top w:w="60" w:type="dxa"/>
              <w:left w:w="90" w:type="dxa"/>
              <w:bottom w:w="60" w:type="dxa"/>
              <w:right w:w="90" w:type="dxa"/>
            </w:tcMar>
          </w:tcPr>
          <w:p w14:paraId="1BE34BB7">
            <w:pPr>
              <w:spacing w:before="40" w:after="40" w:line="240" w:lineRule="auto"/>
              <w:jc w:val="left"/>
            </w:pPr>
            <w:r>
              <w:rPr>
                <w:rFonts w:ascii="Calibri" w:hAnsi="Calibri" w:eastAsia="Calibri" w:cs="Calibri"/>
                <w:color w:val="1C2733"/>
                <w:sz w:val="15"/>
                <w:szCs w:val="15"/>
              </w:rPr>
              <w:t>Yes, moderately</w:t>
            </w:r>
          </w:p>
        </w:tc>
        <w:tc>
          <w:tcPr>
            <w:tcW w:w="5024" w:type="dxa"/>
            <w:shd w:val="clear" w:color="auto" w:fill="F6F8FA"/>
            <w:tcMar>
              <w:top w:w="60" w:type="dxa"/>
              <w:left w:w="90" w:type="dxa"/>
              <w:bottom w:w="60" w:type="dxa"/>
              <w:right w:w="90" w:type="dxa"/>
            </w:tcMar>
          </w:tcPr>
          <w:p w14:paraId="32907B79">
            <w:pPr>
              <w:spacing w:before="40" w:after="40" w:line="240" w:lineRule="auto"/>
              <w:jc w:val="left"/>
            </w:pPr>
            <w:r>
              <w:rPr>
                <w:rFonts w:ascii="Calibri" w:hAnsi="Calibri" w:eastAsia="Calibri" w:cs="Calibri"/>
                <w:color w:val="1C2733"/>
                <w:sz w:val="15"/>
                <w:szCs w:val="15"/>
              </w:rPr>
              <w:t>A single global AF with no population breakdown cannot support a rarity argument. gnomAD v4.1.1 reports per-population frequencies for a reason: an allele at 1e-5 globally may be far more common in one ancestry group, which changes the prior substantially.</w:t>
            </w:r>
          </w:p>
        </w:tc>
      </w:tr>
      <w:tr w14:paraId="666E81B5">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tcMar>
              <w:top w:w="60" w:type="dxa"/>
              <w:left w:w="90" w:type="dxa"/>
              <w:bottom w:w="60" w:type="dxa"/>
              <w:right w:w="90" w:type="dxa"/>
            </w:tcMar>
          </w:tcPr>
          <w:p w14:paraId="56C346A8">
            <w:pPr>
              <w:spacing w:before="40" w:after="40" w:line="240" w:lineRule="auto"/>
              <w:jc w:val="left"/>
            </w:pPr>
            <w:r>
              <w:rPr>
                <w:rFonts w:ascii="Calibri" w:hAnsi="Calibri" w:eastAsia="Calibri" w:cs="Calibri"/>
                <w:color w:val="1C2733"/>
                <w:sz w:val="15"/>
                <w:szCs w:val="15"/>
              </w:rPr>
              <w:t>The whole table mixes genome builds</w:t>
            </w:r>
          </w:p>
        </w:tc>
        <w:tc>
          <w:tcPr>
            <w:tcW w:w="1500" w:type="dxa"/>
            <w:tcMar>
              <w:top w:w="60" w:type="dxa"/>
              <w:left w:w="90" w:type="dxa"/>
              <w:bottom w:w="60" w:type="dxa"/>
              <w:right w:w="90" w:type="dxa"/>
            </w:tcMar>
          </w:tcPr>
          <w:p w14:paraId="20B2D6BE">
            <w:pPr>
              <w:spacing w:before="40" w:after="40" w:line="240" w:lineRule="auto"/>
              <w:jc w:val="left"/>
            </w:pPr>
            <w:r>
              <w:rPr>
                <w:rFonts w:ascii="Calibri" w:hAnsi="Calibri" w:eastAsia="Calibri" w:cs="Calibri"/>
                <w:color w:val="1C2733"/>
                <w:sz w:val="15"/>
                <w:szCs w:val="15"/>
              </w:rPr>
              <w:t>Yes</w:t>
            </w:r>
          </w:p>
        </w:tc>
        <w:tc>
          <w:tcPr>
            <w:tcW w:w="5024" w:type="dxa"/>
            <w:tcMar>
              <w:top w:w="60" w:type="dxa"/>
              <w:left w:w="90" w:type="dxa"/>
              <w:bottom w:w="60" w:type="dxa"/>
              <w:right w:w="90" w:type="dxa"/>
            </w:tcMar>
          </w:tcPr>
          <w:p w14:paraId="2C0C3010">
            <w:pPr>
              <w:spacing w:before="40" w:after="40" w:line="240" w:lineRule="auto"/>
              <w:jc w:val="left"/>
            </w:pPr>
            <w:r>
              <w:rPr>
                <w:rFonts w:ascii="Calibri" w:hAnsi="Calibri" w:eastAsia="Calibri" w:cs="Calibri"/>
                <w:color w:val="1C2733"/>
                <w:sz w:val="15"/>
                <w:szCs w:val="15"/>
              </w:rPr>
              <w:t>Verified across several rows. Any coordinate-based claim from this file is provisional until it is re-called or lifted over to one declared build.</w:t>
            </w:r>
          </w:p>
        </w:tc>
      </w:tr>
      <w:tr w14:paraId="0C601088">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shd w:val="clear" w:color="auto" w:fill="F6F8FA"/>
            <w:tcMar>
              <w:top w:w="60" w:type="dxa"/>
              <w:left w:w="90" w:type="dxa"/>
              <w:bottom w:w="60" w:type="dxa"/>
              <w:right w:w="90" w:type="dxa"/>
            </w:tcMar>
          </w:tcPr>
          <w:p w14:paraId="4962745A">
            <w:pPr>
              <w:spacing w:before="40" w:after="40" w:line="240" w:lineRule="auto"/>
              <w:jc w:val="left"/>
            </w:pPr>
            <w:r>
              <w:rPr>
                <w:rFonts w:ascii="Calibri" w:hAnsi="Calibri" w:eastAsia="Calibri" w:cs="Calibri"/>
                <w:color w:val="1C2733"/>
                <w:sz w:val="15"/>
                <w:szCs w:val="15"/>
              </w:rPr>
              <w:t>TP53 is a famous gene, so the ranking may be confirmation bias</w:t>
            </w:r>
          </w:p>
        </w:tc>
        <w:tc>
          <w:tcPr>
            <w:tcW w:w="1500" w:type="dxa"/>
            <w:shd w:val="clear" w:color="auto" w:fill="F6F8FA"/>
            <w:tcMar>
              <w:top w:w="60" w:type="dxa"/>
              <w:left w:w="90" w:type="dxa"/>
              <w:bottom w:w="60" w:type="dxa"/>
              <w:right w:w="90" w:type="dxa"/>
            </w:tcMar>
          </w:tcPr>
          <w:p w14:paraId="79C96936">
            <w:pPr>
              <w:spacing w:before="40" w:after="40" w:line="240" w:lineRule="auto"/>
              <w:jc w:val="left"/>
            </w:pPr>
            <w:r>
              <w:rPr>
                <w:rFonts w:ascii="Calibri" w:hAnsi="Calibri" w:eastAsia="Calibri" w:cs="Calibri"/>
                <w:color w:val="1C2733"/>
                <w:sz w:val="15"/>
                <w:szCs w:val="15"/>
              </w:rPr>
              <w:t>Partly</w:t>
            </w:r>
          </w:p>
        </w:tc>
        <w:tc>
          <w:tcPr>
            <w:tcW w:w="5024" w:type="dxa"/>
            <w:shd w:val="clear" w:color="auto" w:fill="F6F8FA"/>
            <w:tcMar>
              <w:top w:w="60" w:type="dxa"/>
              <w:left w:w="90" w:type="dxa"/>
              <w:bottom w:w="60" w:type="dxa"/>
              <w:right w:w="90" w:type="dxa"/>
            </w:tcMar>
          </w:tcPr>
          <w:p w14:paraId="5F390914">
            <w:pPr>
              <w:spacing w:before="40" w:after="40" w:line="240" w:lineRule="auto"/>
              <w:jc w:val="left"/>
            </w:pPr>
            <w:r>
              <w:rPr>
                <w:rFonts w:ascii="Calibri" w:hAnsi="Calibri" w:eastAsia="Calibri" w:cs="Calibri"/>
                <w:color w:val="1C2733"/>
                <w:sz w:val="15"/>
                <w:szCs w:val="15"/>
              </w:rPr>
              <w:t>A fair criticism of the process, but here the variant also has the best technical metrics in the table and the strongest independent re-annotation evidence, and it was reached by objective filters applied before gene identity was considered. I record the bias rather than deny it.</w:t>
            </w:r>
          </w:p>
        </w:tc>
      </w:tr>
      <w:tr w14:paraId="10DF4B2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3700" w:type="dxa"/>
            <w:tcMar>
              <w:top w:w="60" w:type="dxa"/>
              <w:left w:w="90" w:type="dxa"/>
              <w:bottom w:w="60" w:type="dxa"/>
              <w:right w:w="90" w:type="dxa"/>
            </w:tcMar>
          </w:tcPr>
          <w:p w14:paraId="328C024E">
            <w:pPr>
              <w:spacing w:before="40" w:after="40" w:line="240" w:lineRule="auto"/>
              <w:jc w:val="left"/>
            </w:pPr>
            <w:r>
              <w:rPr>
                <w:rFonts w:ascii="Calibri" w:hAnsi="Calibri" w:eastAsia="Calibri" w:cs="Calibri"/>
                <w:color w:val="1C2733"/>
                <w:sz w:val="15"/>
                <w:szCs w:val="15"/>
              </w:rPr>
              <w:t>Synthetic data means none of this is real</w:t>
            </w:r>
          </w:p>
        </w:tc>
        <w:tc>
          <w:tcPr>
            <w:tcW w:w="1500" w:type="dxa"/>
            <w:tcMar>
              <w:top w:w="60" w:type="dxa"/>
              <w:left w:w="90" w:type="dxa"/>
              <w:bottom w:w="60" w:type="dxa"/>
              <w:right w:w="90" w:type="dxa"/>
            </w:tcMar>
          </w:tcPr>
          <w:p w14:paraId="07187F7F">
            <w:pPr>
              <w:spacing w:before="40" w:after="40" w:line="240" w:lineRule="auto"/>
              <w:jc w:val="left"/>
            </w:pPr>
            <w:r>
              <w:rPr>
                <w:rFonts w:ascii="Calibri" w:hAnsi="Calibri" w:eastAsia="Calibri" w:cs="Calibri"/>
                <w:color w:val="1C2733"/>
                <w:sz w:val="15"/>
                <w:szCs w:val="15"/>
              </w:rPr>
              <w:t>No — not scientifically relevant</w:t>
            </w:r>
          </w:p>
        </w:tc>
        <w:tc>
          <w:tcPr>
            <w:tcW w:w="5024" w:type="dxa"/>
            <w:tcMar>
              <w:top w:w="60" w:type="dxa"/>
              <w:left w:w="90" w:type="dxa"/>
              <w:bottom w:w="60" w:type="dxa"/>
              <w:right w:w="90" w:type="dxa"/>
            </w:tcMar>
          </w:tcPr>
          <w:p w14:paraId="420C58B5">
            <w:pPr>
              <w:spacing w:before="40" w:after="40" w:line="240" w:lineRule="auto"/>
              <w:jc w:val="left"/>
            </w:pPr>
            <w:r>
              <w:rPr>
                <w:rFonts w:ascii="Calibri" w:hAnsi="Calibri" w:eastAsia="Calibri" w:cs="Calibri"/>
                <w:color w:val="1C2733"/>
                <w:sz w:val="15"/>
                <w:szCs w:val="15"/>
              </w:rPr>
              <w:t>True but not a criticism of the reasoning. The README states the data are teaching synthetics; the exercise is whether the inference chain is sound, and the inference chain is what I am accountable for.</w:t>
            </w:r>
          </w:p>
        </w:tc>
      </w:tr>
    </w:tbl>
    <w:p w14:paraId="1ADAE5C5">
      <w:pPr>
        <w:pStyle w:val="3"/>
        <w:spacing w:before="260" w:after="100"/>
      </w:pPr>
      <w:r>
        <w:rPr>
          <w:rFonts w:ascii="Calibri" w:hAnsi="Calibri" w:eastAsia="Calibri" w:cs="Calibri"/>
          <w:b/>
          <w:bCs/>
          <w:color w:val="1C2733"/>
          <w:sz w:val="24"/>
          <w:szCs w:val="24"/>
        </w:rPr>
        <w:t>4.  Final conclusion</w:t>
      </w:r>
    </w:p>
    <w:p w14:paraId="6DB5E577">
      <w:pPr>
        <w:spacing w:before="160" w:after="60"/>
        <w:jc w:val="center"/>
      </w:pPr>
      <w:r>
        <w:drawing>
          <wp:inline distT="0" distB="0" distL="0" distR="0">
            <wp:extent cx="6448425" cy="73247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srcRect/>
                    <a:stretch>
                      <a:fillRect/>
                    </a:stretch>
                  </pic:blipFill>
                  <pic:spPr>
                    <a:xfrm>
                      <a:off x="0" y="0"/>
                      <a:ext cx="6448425" cy="7324725"/>
                    </a:xfrm>
                    <a:prstGeom prst="rect">
                      <a:avLst/>
                    </a:prstGeom>
                  </pic:spPr>
                </pic:pic>
              </a:graphicData>
            </a:graphic>
          </wp:inline>
        </w:drawing>
      </w:r>
    </w:p>
    <w:p w14:paraId="36093910">
      <w:pPr>
        <w:spacing w:before="0" w:after="200"/>
        <w:jc w:val="center"/>
      </w:pPr>
      <w:r>
        <w:rPr>
          <w:rFonts w:ascii="Calibri" w:hAnsi="Calibri" w:eastAsia="Calibri" w:cs="Calibri"/>
          <w:i/>
          <w:iCs/>
          <w:color w:val="5A6672"/>
          <w:sz w:val="17"/>
          <w:szCs w:val="17"/>
        </w:rPr>
        <w:t>Figure 4. Prioritisation workflow: filter cascade with every exclusion reasoned, an independent re-annotation checkpoint before ranking, the two ranked candidates with their strongest false-lead risks, and the evidence required before any biological claim.</w:t>
      </w:r>
    </w:p>
    <w:p w14:paraId="602D0C06">
      <w:pPr>
        <w:pStyle w:val="4"/>
        <w:spacing w:before="200" w:after="80"/>
      </w:pPr>
      <w:r>
        <w:rPr>
          <w:rFonts w:ascii="Calibri" w:hAnsi="Calibri" w:eastAsia="Calibri" w:cs="Calibri"/>
          <w:b/>
          <w:bCs/>
          <w:color w:val="4A7C3F"/>
          <w:sz w:val="21"/>
          <w:szCs w:val="21"/>
        </w:rPr>
        <w:t>~200-word final interpretation</w:t>
      </w:r>
    </w:p>
    <w:p w14:paraId="34AB416E">
      <w:pPr>
        <w:spacing w:before="60" w:after="100" w:line="276" w:lineRule="auto"/>
        <w:jc w:val="left"/>
      </w:pPr>
      <w:r>
        <w:rPr>
          <w:rFonts w:ascii="Calibri" w:hAnsi="Calibri" w:eastAsia="Calibri" w:cs="Calibri"/>
          <w:color w:val="1C2733"/>
          <w:sz w:val="21"/>
          <w:szCs w:val="21"/>
        </w:rPr>
        <w:t>Known evidence: after quality, frequency and consequence filters, four of twelve variants survive, and chr17:7,673,803 G&gt;A has the best technical metrics in the file (DP 80, GQ 99, PASS). Independent re-annotation on GRCh38 identifies it as TP53 p.Arg273Cys, rs121913343 — a recurrent DNA-contact hotspot with pathogenic ClinVar submissions — not the splice-acceptor variant the table asserts; the same check promotes BRCA2 chr13:32,316,461 from "missense VUS" to start_lost. Computational inference: substituting a DNA-contacting arginine should abolish sequence-specific binding while leaving the fold intact, giving a defective p53 that is expressed rather than absent. Scientific hypothesis: this allele impairs p53-dependent transactivation and the DNA-damage response, which in the germline would be a cancer-predisposition mechanism. The hypothesis is fragile in one specific way: R273C is overwhelmingly somatic, and the table lacks the allelic-depth field that would separate a germline heterozygote from clonal haematopoiesis or tumour-in-normal contamination. Required experiment: confirm germline status by deep sequencing of a non-haematopoietic tissue with VAF reported, confirm the call orthogonally, then measure p53 transactivation for R273C against wild-type and null controls, and classify formally under ACMG/AMP with ClinGen SVI specifications.</w:t>
      </w:r>
    </w:p>
    <w:p w14:paraId="76F5C1A2">
      <w:pPr>
        <w:pBdr>
          <w:left w:val="single" w:color="2B6CA3" w:sz="18" w:space="8"/>
        </w:pBdr>
        <w:shd w:val="clear" w:fill="EAF1F7"/>
        <w:spacing w:before="180" w:after="180" w:line="276" w:lineRule="auto"/>
        <w:ind w:left="200" w:right="200"/>
      </w:pPr>
      <w:r>
        <w:rPr>
          <w:rFonts w:ascii="Calibri" w:hAnsi="Calibri" w:eastAsia="Calibri" w:cs="Calibri"/>
          <w:b/>
          <w:bCs/>
          <w:color w:val="15405F"/>
          <w:sz w:val="21"/>
          <w:szCs w:val="21"/>
        </w:rPr>
        <w:t>Variant chr17:7,673,803 G&gt;A (TP53, p.Arg273Cys, rs121913343) may influence p53-dependent transcriptional control of the DNA-damage response by affecting sequence-specific DNA binding at a DNA-contacting residue of the p53 DNA-binding domain — not, as the supplied table states, by disrupting a canonical splice acceptor; this can be tested by deep resequencing of a non-haematopoietic tissue with allelic fraction reported to establish that the variant is germline rather than clonal, followed by a p53 transactivation reporter assay of the R273C allele against wild-type and null controls, with p21/MDM2 induction after DNA damage as the endogenous read-out, and formal ACMG/AMP classification applied to the result.</w:t>
      </w:r>
    </w:p>
    <w:p w14:paraId="78EF7EB4">
      <w:r>
        <w:br w:type="page"/>
      </w:r>
    </w:p>
    <w:p w14:paraId="6A6F1D77">
      <w:pPr>
        <w:pStyle w:val="2"/>
        <w:pBdr>
          <w:bottom w:val="single" w:color="2B6CA3" w:sz="10" w:space="4"/>
        </w:pBdr>
        <w:spacing w:before="320" w:after="140"/>
      </w:pPr>
      <w:r>
        <w:rPr>
          <w:rFonts w:ascii="Calibri" w:hAnsi="Calibri" w:eastAsia="Calibri" w:cs="Calibri"/>
          <w:b/>
          <w:bCs/>
          <w:color w:val="2B6CA3"/>
          <w:sz w:val="28"/>
          <w:szCs w:val="28"/>
        </w:rPr>
        <w:t>Appendix A — Summary of where verification changed the answer</w:t>
      </w:r>
    </w:p>
    <w:tbl>
      <w:tblPr>
        <w:tblStyle w:val="12"/>
        <w:tblW w:w="10224" w:type="dxa"/>
        <w:tblInd w:w="0" w:type="dxa"/>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Layout w:type="autofit"/>
        <w:tblCellMar>
          <w:top w:w="0" w:type="dxa"/>
          <w:left w:w="10" w:type="dxa"/>
          <w:bottom w:w="0" w:type="dxa"/>
          <w:right w:w="10" w:type="dxa"/>
        </w:tblCellMar>
      </w:tblPr>
      <w:tblGrid>
        <w:gridCol w:w="500"/>
        <w:gridCol w:w="2800"/>
        <w:gridCol w:w="3600"/>
        <w:gridCol w:w="3324"/>
      </w:tblGrid>
      <w:tr w14:paraId="77A8D5C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rPr>
          <w:tblHeader/>
        </w:trPr>
        <w:tc>
          <w:tcPr>
            <w:tcW w:w="500" w:type="dxa"/>
            <w:shd w:val="clear" w:color="auto" w:fill="DCE7F1"/>
            <w:tcMar>
              <w:top w:w="60" w:type="dxa"/>
              <w:left w:w="90" w:type="dxa"/>
              <w:bottom w:w="60" w:type="dxa"/>
              <w:right w:w="90" w:type="dxa"/>
            </w:tcMar>
          </w:tcPr>
          <w:p w14:paraId="7C94DE38">
            <w:pPr>
              <w:spacing w:before="40" w:after="40" w:line="240" w:lineRule="auto"/>
              <w:jc w:val="left"/>
            </w:pPr>
            <w:r>
              <w:rPr>
                <w:rFonts w:ascii="Calibri" w:hAnsi="Calibri" w:eastAsia="Calibri" w:cs="Calibri"/>
                <w:b/>
                <w:bCs/>
                <w:color w:val="1C2733"/>
                <w:sz w:val="15"/>
                <w:szCs w:val="15"/>
              </w:rPr>
              <w:t>Q</w:t>
            </w:r>
          </w:p>
        </w:tc>
        <w:tc>
          <w:tcPr>
            <w:tcW w:w="2800" w:type="dxa"/>
            <w:shd w:val="clear" w:color="auto" w:fill="DCE7F1"/>
            <w:tcMar>
              <w:top w:w="60" w:type="dxa"/>
              <w:left w:w="90" w:type="dxa"/>
              <w:bottom w:w="60" w:type="dxa"/>
              <w:right w:w="90" w:type="dxa"/>
            </w:tcMar>
          </w:tcPr>
          <w:p w14:paraId="2A27586B">
            <w:pPr>
              <w:spacing w:before="40" w:after="40" w:line="240" w:lineRule="auto"/>
              <w:jc w:val="left"/>
            </w:pPr>
            <w:r>
              <w:rPr>
                <w:rFonts w:ascii="Calibri" w:hAnsi="Calibri" w:eastAsia="Calibri" w:cs="Calibri"/>
                <w:b/>
                <w:bCs/>
                <w:color w:val="1C2733"/>
                <w:sz w:val="15"/>
                <w:szCs w:val="15"/>
              </w:rPr>
              <w:t>What AI or the supplied data asserted</w:t>
            </w:r>
          </w:p>
        </w:tc>
        <w:tc>
          <w:tcPr>
            <w:tcW w:w="3600" w:type="dxa"/>
            <w:shd w:val="clear" w:color="auto" w:fill="DCE7F1"/>
            <w:tcMar>
              <w:top w:w="60" w:type="dxa"/>
              <w:left w:w="90" w:type="dxa"/>
              <w:bottom w:w="60" w:type="dxa"/>
              <w:right w:w="90" w:type="dxa"/>
            </w:tcMar>
          </w:tcPr>
          <w:p w14:paraId="2A556072">
            <w:pPr>
              <w:spacing w:before="40" w:after="40" w:line="240" w:lineRule="auto"/>
              <w:jc w:val="left"/>
            </w:pPr>
            <w:r>
              <w:rPr>
                <w:rFonts w:ascii="Calibri" w:hAnsi="Calibri" w:eastAsia="Calibri" w:cs="Calibri"/>
                <w:b/>
                <w:bCs/>
                <w:color w:val="1C2733"/>
                <w:sz w:val="15"/>
                <w:szCs w:val="15"/>
              </w:rPr>
              <w:t>What verification established</w:t>
            </w:r>
          </w:p>
        </w:tc>
        <w:tc>
          <w:tcPr>
            <w:tcW w:w="3324" w:type="dxa"/>
            <w:shd w:val="clear" w:color="auto" w:fill="DCE7F1"/>
            <w:tcMar>
              <w:top w:w="60" w:type="dxa"/>
              <w:left w:w="90" w:type="dxa"/>
              <w:bottom w:w="60" w:type="dxa"/>
              <w:right w:w="90" w:type="dxa"/>
            </w:tcMar>
          </w:tcPr>
          <w:p w14:paraId="5BBE5B8A">
            <w:pPr>
              <w:spacing w:before="40" w:after="40" w:line="240" w:lineRule="auto"/>
              <w:jc w:val="left"/>
            </w:pPr>
            <w:r>
              <w:rPr>
                <w:rFonts w:ascii="Calibri" w:hAnsi="Calibri" w:eastAsia="Calibri" w:cs="Calibri"/>
                <w:b/>
                <w:bCs/>
                <w:color w:val="1C2733"/>
                <w:sz w:val="15"/>
                <w:szCs w:val="15"/>
              </w:rPr>
              <w:t>Effect on the report</w:t>
            </w:r>
          </w:p>
        </w:tc>
      </w:tr>
      <w:tr w14:paraId="289D2168">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tcMar>
              <w:top w:w="60" w:type="dxa"/>
              <w:left w:w="90" w:type="dxa"/>
              <w:bottom w:w="60" w:type="dxa"/>
              <w:right w:w="90" w:type="dxa"/>
            </w:tcMar>
          </w:tcPr>
          <w:p w14:paraId="128F9F33">
            <w:pPr>
              <w:spacing w:before="40" w:after="40" w:line="240" w:lineRule="auto"/>
              <w:jc w:val="left"/>
            </w:pPr>
            <w:r>
              <w:rPr>
                <w:rFonts w:ascii="Calibri" w:hAnsi="Calibri" w:eastAsia="Calibri" w:cs="Calibri"/>
                <w:color w:val="1C2733"/>
                <w:sz w:val="15"/>
                <w:szCs w:val="15"/>
              </w:rPr>
              <w:t>Q1</w:t>
            </w:r>
          </w:p>
        </w:tc>
        <w:tc>
          <w:tcPr>
            <w:tcW w:w="2800" w:type="dxa"/>
            <w:tcMar>
              <w:top w:w="60" w:type="dxa"/>
              <w:left w:w="90" w:type="dxa"/>
              <w:bottom w:w="60" w:type="dxa"/>
              <w:right w:w="90" w:type="dxa"/>
            </w:tcMar>
          </w:tcPr>
          <w:p w14:paraId="7A49658E">
            <w:pPr>
              <w:spacing w:before="40" w:after="40" w:line="240" w:lineRule="auto"/>
              <w:jc w:val="left"/>
            </w:pPr>
            <w:r>
              <w:rPr>
                <w:rFonts w:ascii="Calibri" w:hAnsi="Calibri" w:eastAsia="Calibri" w:cs="Calibri"/>
                <w:color w:val="1C2733"/>
                <w:sz w:val="15"/>
                <w:szCs w:val="15"/>
              </w:rPr>
              <w:t>H3K27ac demonstrates enhancer activity</w:t>
            </w:r>
          </w:p>
        </w:tc>
        <w:tc>
          <w:tcPr>
            <w:tcW w:w="3600" w:type="dxa"/>
            <w:tcMar>
              <w:top w:w="60" w:type="dxa"/>
              <w:left w:w="90" w:type="dxa"/>
              <w:bottom w:w="60" w:type="dxa"/>
              <w:right w:w="90" w:type="dxa"/>
            </w:tcMar>
          </w:tcPr>
          <w:p w14:paraId="7AA66BF8">
            <w:pPr>
              <w:spacing w:before="40" w:after="40" w:line="240" w:lineRule="auto"/>
              <w:jc w:val="left"/>
            </w:pPr>
            <w:r>
              <w:rPr>
                <w:rFonts w:ascii="Calibri" w:hAnsi="Calibri" w:eastAsia="Calibri" w:cs="Calibri"/>
                <w:color w:val="1C2733"/>
                <w:sz w:val="15"/>
                <w:szCs w:val="15"/>
              </w:rPr>
              <w:t>Zhang T. 2020 (Genome Biology): enhancer function and transcriptome largely preserved without enhancer H3K27ac; Raisner 2018 argues the opposite</w:t>
            </w:r>
          </w:p>
        </w:tc>
        <w:tc>
          <w:tcPr>
            <w:tcW w:w="3324" w:type="dxa"/>
            <w:tcMar>
              <w:top w:w="60" w:type="dxa"/>
              <w:left w:w="90" w:type="dxa"/>
              <w:bottom w:w="60" w:type="dxa"/>
              <w:right w:w="90" w:type="dxa"/>
            </w:tcMar>
          </w:tcPr>
          <w:p w14:paraId="08D86039">
            <w:pPr>
              <w:spacing w:before="40" w:after="40" w:line="240" w:lineRule="auto"/>
              <w:jc w:val="left"/>
            </w:pPr>
            <w:r>
              <w:rPr>
                <w:rFonts w:ascii="Calibri" w:hAnsi="Calibri" w:eastAsia="Calibri" w:cs="Calibri"/>
                <w:color w:val="1C2733"/>
                <w:sz w:val="15"/>
                <w:szCs w:val="15"/>
              </w:rPr>
              <w:t>H3K27ac reported as chromatin state with contested functional weight, not as activity</w:t>
            </w:r>
          </w:p>
        </w:tc>
      </w:tr>
      <w:tr w14:paraId="2442BA3A">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shd w:val="clear" w:color="auto" w:fill="F6F8FA"/>
            <w:tcMar>
              <w:top w:w="60" w:type="dxa"/>
              <w:left w:w="90" w:type="dxa"/>
              <w:bottom w:w="60" w:type="dxa"/>
              <w:right w:w="90" w:type="dxa"/>
            </w:tcMar>
          </w:tcPr>
          <w:p w14:paraId="4F3733ED">
            <w:pPr>
              <w:spacing w:before="40" w:after="40" w:line="240" w:lineRule="auto"/>
              <w:jc w:val="left"/>
            </w:pPr>
            <w:r>
              <w:rPr>
                <w:rFonts w:ascii="Calibri" w:hAnsi="Calibri" w:eastAsia="Calibri" w:cs="Calibri"/>
                <w:color w:val="1C2733"/>
                <w:sz w:val="15"/>
                <w:szCs w:val="15"/>
              </w:rPr>
              <w:t>Q1</w:t>
            </w:r>
          </w:p>
        </w:tc>
        <w:tc>
          <w:tcPr>
            <w:tcW w:w="2800" w:type="dxa"/>
            <w:shd w:val="clear" w:color="auto" w:fill="F6F8FA"/>
            <w:tcMar>
              <w:top w:w="60" w:type="dxa"/>
              <w:left w:w="90" w:type="dxa"/>
              <w:bottom w:w="60" w:type="dxa"/>
              <w:right w:w="90" w:type="dxa"/>
            </w:tcMar>
          </w:tcPr>
          <w:p w14:paraId="3C07E695">
            <w:pPr>
              <w:spacing w:before="40" w:after="40" w:line="240" w:lineRule="auto"/>
              <w:jc w:val="left"/>
            </w:pPr>
            <w:r>
              <w:rPr>
                <w:rFonts w:ascii="Calibri" w:hAnsi="Calibri" w:eastAsia="Calibri" w:cs="Calibri"/>
                <w:color w:val="1C2733"/>
                <w:sz w:val="15"/>
                <w:szCs w:val="15"/>
              </w:rPr>
              <w:t>H3K4me1 is a narrow mark like H3K27ac</w:t>
            </w:r>
          </w:p>
        </w:tc>
        <w:tc>
          <w:tcPr>
            <w:tcW w:w="3600" w:type="dxa"/>
            <w:shd w:val="clear" w:color="auto" w:fill="F6F8FA"/>
            <w:tcMar>
              <w:top w:w="60" w:type="dxa"/>
              <w:left w:w="90" w:type="dxa"/>
              <w:bottom w:w="60" w:type="dxa"/>
              <w:right w:w="90" w:type="dxa"/>
            </w:tcMar>
          </w:tcPr>
          <w:p w14:paraId="08593C6E">
            <w:pPr>
              <w:spacing w:before="40" w:after="40" w:line="240" w:lineRule="auto"/>
              <w:jc w:val="left"/>
            </w:pPr>
            <w:r>
              <w:rPr>
                <w:rFonts w:ascii="Calibri" w:hAnsi="Calibri" w:eastAsia="Calibri" w:cs="Calibri"/>
                <w:color w:val="1C2733"/>
                <w:sz w:val="15"/>
                <w:szCs w:val="15"/>
              </w:rPr>
              <w:t>ENCODE4 classes H3K4me1 as broad (45 M usable fragments) and H3K27ac as narrow (20 M)</w:t>
            </w:r>
          </w:p>
        </w:tc>
        <w:tc>
          <w:tcPr>
            <w:tcW w:w="3324" w:type="dxa"/>
            <w:shd w:val="clear" w:color="auto" w:fill="F6F8FA"/>
            <w:tcMar>
              <w:top w:w="60" w:type="dxa"/>
              <w:left w:w="90" w:type="dxa"/>
              <w:bottom w:w="60" w:type="dxa"/>
              <w:right w:w="90" w:type="dxa"/>
            </w:tcMar>
          </w:tcPr>
          <w:p w14:paraId="68FCAAC7">
            <w:pPr>
              <w:spacing w:before="40" w:after="40" w:line="240" w:lineRule="auto"/>
              <w:jc w:val="left"/>
            </w:pPr>
            <w:r>
              <w:rPr>
                <w:rFonts w:ascii="Calibri" w:hAnsi="Calibri" w:eastAsia="Calibri" w:cs="Calibri"/>
                <w:color w:val="1C2733"/>
                <w:sz w:val="15"/>
                <w:szCs w:val="15"/>
              </w:rPr>
              <w:t>Depth requirements corrected in the design</w:t>
            </w:r>
          </w:p>
        </w:tc>
      </w:tr>
      <w:tr w14:paraId="7858B50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tcMar>
              <w:top w:w="60" w:type="dxa"/>
              <w:left w:w="90" w:type="dxa"/>
              <w:bottom w:w="60" w:type="dxa"/>
              <w:right w:w="90" w:type="dxa"/>
            </w:tcMar>
          </w:tcPr>
          <w:p w14:paraId="69DFC848">
            <w:pPr>
              <w:spacing w:before="40" w:after="40" w:line="240" w:lineRule="auto"/>
              <w:jc w:val="left"/>
            </w:pPr>
            <w:r>
              <w:rPr>
                <w:rFonts w:ascii="Calibri" w:hAnsi="Calibri" w:eastAsia="Calibri" w:cs="Calibri"/>
                <w:color w:val="1C2733"/>
                <w:sz w:val="15"/>
                <w:szCs w:val="15"/>
              </w:rPr>
              <w:t>Q1</w:t>
            </w:r>
          </w:p>
        </w:tc>
        <w:tc>
          <w:tcPr>
            <w:tcW w:w="2800" w:type="dxa"/>
            <w:tcMar>
              <w:top w:w="60" w:type="dxa"/>
              <w:left w:w="90" w:type="dxa"/>
              <w:bottom w:w="60" w:type="dxa"/>
              <w:right w:w="90" w:type="dxa"/>
            </w:tcMar>
          </w:tcPr>
          <w:p w14:paraId="4702B13C">
            <w:pPr>
              <w:spacing w:before="40" w:after="40" w:line="240" w:lineRule="auto"/>
              <w:jc w:val="left"/>
            </w:pPr>
            <w:r>
              <w:rPr>
                <w:rFonts w:ascii="Calibri" w:hAnsi="Calibri" w:eastAsia="Calibri" w:cs="Calibri"/>
                <w:color w:val="1C2733"/>
                <w:sz w:val="15"/>
                <w:szCs w:val="15"/>
              </w:rPr>
              <w:t>3D contact evidences regulation</w:t>
            </w:r>
          </w:p>
        </w:tc>
        <w:tc>
          <w:tcPr>
            <w:tcW w:w="3600" w:type="dxa"/>
            <w:tcMar>
              <w:top w:w="60" w:type="dxa"/>
              <w:left w:w="90" w:type="dxa"/>
              <w:bottom w:w="60" w:type="dxa"/>
              <w:right w:w="90" w:type="dxa"/>
            </w:tcMar>
          </w:tcPr>
          <w:p w14:paraId="2603250C">
            <w:pPr>
              <w:spacing w:before="40" w:after="40" w:line="240" w:lineRule="auto"/>
              <w:jc w:val="left"/>
            </w:pPr>
            <w:r>
              <w:rPr>
                <w:rFonts w:ascii="Calibri" w:hAnsi="Calibri" w:eastAsia="Calibri" w:cs="Calibri"/>
                <w:color w:val="1C2733"/>
                <w:sz w:val="15"/>
                <w:szCs w:val="15"/>
              </w:rPr>
              <w:t>Rao 2017; Hsieh 2022; Alexander 2019</w:t>
            </w:r>
          </w:p>
        </w:tc>
        <w:tc>
          <w:tcPr>
            <w:tcW w:w="3324" w:type="dxa"/>
            <w:tcMar>
              <w:top w:w="60" w:type="dxa"/>
              <w:left w:w="90" w:type="dxa"/>
              <w:bottom w:w="60" w:type="dxa"/>
              <w:right w:w="90" w:type="dxa"/>
            </w:tcMar>
          </w:tcPr>
          <w:p w14:paraId="0A8A045F">
            <w:pPr>
              <w:spacing w:before="40" w:after="40" w:line="240" w:lineRule="auto"/>
              <w:jc w:val="left"/>
            </w:pPr>
            <w:r>
              <w:rPr>
                <w:rFonts w:ascii="Calibri" w:hAnsi="Calibri" w:eastAsia="Calibri" w:cs="Calibri"/>
                <w:color w:val="1C2733"/>
                <w:sz w:val="15"/>
                <w:szCs w:val="15"/>
              </w:rPr>
              <w:t>Micro-C demoted to a targeting heuristic</w:t>
            </w:r>
          </w:p>
        </w:tc>
      </w:tr>
      <w:tr w14:paraId="00FD2D1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shd w:val="clear" w:color="auto" w:fill="F6F8FA"/>
            <w:tcMar>
              <w:top w:w="60" w:type="dxa"/>
              <w:left w:w="90" w:type="dxa"/>
              <w:bottom w:w="60" w:type="dxa"/>
              <w:right w:w="90" w:type="dxa"/>
            </w:tcMar>
          </w:tcPr>
          <w:p w14:paraId="0DEAC5F3">
            <w:pPr>
              <w:spacing w:before="40" w:after="40" w:line="240" w:lineRule="auto"/>
              <w:jc w:val="left"/>
            </w:pPr>
            <w:r>
              <w:rPr>
                <w:rFonts w:ascii="Calibri" w:hAnsi="Calibri" w:eastAsia="Calibri" w:cs="Calibri"/>
                <w:color w:val="1C2733"/>
                <w:sz w:val="15"/>
                <w:szCs w:val="15"/>
              </w:rPr>
              <w:t>Q2</w:t>
            </w:r>
          </w:p>
        </w:tc>
        <w:tc>
          <w:tcPr>
            <w:tcW w:w="2800" w:type="dxa"/>
            <w:shd w:val="clear" w:color="auto" w:fill="F6F8FA"/>
            <w:tcMar>
              <w:top w:w="60" w:type="dxa"/>
              <w:left w:w="90" w:type="dxa"/>
              <w:bottom w:w="60" w:type="dxa"/>
              <w:right w:w="90" w:type="dxa"/>
            </w:tcMar>
          </w:tcPr>
          <w:p w14:paraId="6563EDDD">
            <w:pPr>
              <w:spacing w:before="40" w:after="40" w:line="240" w:lineRule="auto"/>
              <w:jc w:val="left"/>
            </w:pPr>
            <w:r>
              <w:rPr>
                <w:rFonts w:ascii="Calibri" w:hAnsi="Calibri" w:eastAsia="Calibri" w:cs="Calibri"/>
                <w:color w:val="1C2733"/>
                <w:sz w:val="15"/>
                <w:szCs w:val="15"/>
              </w:rPr>
              <w:t>Use GRCh37/hg19; use ALT contigs; switch to T2T-CHM13</w:t>
            </w:r>
          </w:p>
        </w:tc>
        <w:tc>
          <w:tcPr>
            <w:tcW w:w="3600" w:type="dxa"/>
            <w:shd w:val="clear" w:color="auto" w:fill="F6F8FA"/>
            <w:tcMar>
              <w:top w:w="60" w:type="dxa"/>
              <w:left w:w="90" w:type="dxa"/>
              <w:bottom w:w="60" w:type="dxa"/>
              <w:right w:w="90" w:type="dxa"/>
            </w:tcMar>
          </w:tcPr>
          <w:p w14:paraId="1F7D402D">
            <w:pPr>
              <w:spacing w:before="40" w:after="40" w:line="240" w:lineRule="auto"/>
              <w:jc w:val="left"/>
            </w:pPr>
            <w:r>
              <w:rPr>
                <w:rFonts w:ascii="Calibri" w:hAnsi="Calibri" w:eastAsia="Calibri" w:cs="Calibri"/>
                <w:color w:val="1C2733"/>
                <w:sz w:val="15"/>
                <w:szCs w:val="15"/>
              </w:rPr>
              <w:t>GATK build guidance; Heng Li on no-ALT analysis sets; Ek 2025 on the T2T annotation gap</w:t>
            </w:r>
          </w:p>
        </w:tc>
        <w:tc>
          <w:tcPr>
            <w:tcW w:w="3324" w:type="dxa"/>
            <w:shd w:val="clear" w:color="auto" w:fill="F6F8FA"/>
            <w:tcMar>
              <w:top w:w="60" w:type="dxa"/>
              <w:left w:w="90" w:type="dxa"/>
              <w:bottom w:w="60" w:type="dxa"/>
              <w:right w:w="90" w:type="dxa"/>
            </w:tcMar>
          </w:tcPr>
          <w:p w14:paraId="20D0F15B">
            <w:pPr>
              <w:spacing w:before="40" w:after="40" w:line="240" w:lineRule="auto"/>
              <w:jc w:val="left"/>
            </w:pPr>
            <w:r>
              <w:rPr>
                <w:rFonts w:ascii="Calibri" w:hAnsi="Calibri" w:eastAsia="Calibri" w:cs="Calibri"/>
                <w:color w:val="1C2733"/>
                <w:sz w:val="15"/>
                <w:szCs w:val="15"/>
              </w:rPr>
              <w:t>GRCh38 no-ALT analysis set adopted and declared</w:t>
            </w:r>
          </w:p>
        </w:tc>
      </w:tr>
      <w:tr w14:paraId="0DB2D30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tcMar>
              <w:top w:w="60" w:type="dxa"/>
              <w:left w:w="90" w:type="dxa"/>
              <w:bottom w:w="60" w:type="dxa"/>
              <w:right w:w="90" w:type="dxa"/>
            </w:tcMar>
          </w:tcPr>
          <w:p w14:paraId="64934D37">
            <w:pPr>
              <w:spacing w:before="40" w:after="40" w:line="240" w:lineRule="auto"/>
              <w:jc w:val="left"/>
            </w:pPr>
            <w:r>
              <w:rPr>
                <w:rFonts w:ascii="Calibri" w:hAnsi="Calibri" w:eastAsia="Calibri" w:cs="Calibri"/>
                <w:color w:val="1C2733"/>
                <w:sz w:val="15"/>
                <w:szCs w:val="15"/>
              </w:rPr>
              <w:t>Q2</w:t>
            </w:r>
          </w:p>
        </w:tc>
        <w:tc>
          <w:tcPr>
            <w:tcW w:w="2800" w:type="dxa"/>
            <w:tcMar>
              <w:top w:w="60" w:type="dxa"/>
              <w:left w:w="90" w:type="dxa"/>
              <w:bottom w:w="60" w:type="dxa"/>
              <w:right w:w="90" w:type="dxa"/>
            </w:tcMar>
          </w:tcPr>
          <w:p w14:paraId="4E4363C2">
            <w:pPr>
              <w:spacing w:before="40" w:after="40" w:line="240" w:lineRule="auto"/>
              <w:jc w:val="left"/>
            </w:pPr>
            <w:r>
              <w:rPr>
                <w:rFonts w:ascii="Calibri" w:hAnsi="Calibri" w:eastAsia="Calibri" w:cs="Calibri"/>
                <w:color w:val="1C2733"/>
                <w:sz w:val="15"/>
                <w:szCs w:val="15"/>
              </w:rPr>
              <w:t>Filter with VQSR</w:t>
            </w:r>
          </w:p>
        </w:tc>
        <w:tc>
          <w:tcPr>
            <w:tcW w:w="3600" w:type="dxa"/>
            <w:tcMar>
              <w:top w:w="60" w:type="dxa"/>
              <w:left w:w="90" w:type="dxa"/>
              <w:bottom w:w="60" w:type="dxa"/>
              <w:right w:w="90" w:type="dxa"/>
            </w:tcMar>
          </w:tcPr>
          <w:p w14:paraId="708F2AAE">
            <w:pPr>
              <w:spacing w:before="40" w:after="40" w:line="240" w:lineRule="auto"/>
              <w:jc w:val="left"/>
            </w:pPr>
            <w:r>
              <w:rPr>
                <w:rFonts w:ascii="Calibri" w:hAnsi="Calibri" w:eastAsia="Calibri" w:cs="Calibri"/>
                <w:color w:val="1C2733"/>
                <w:sz w:val="15"/>
                <w:szCs w:val="15"/>
              </w:rPr>
              <w:t>GATK: VQSR requires a large cohort; hard filtering documented for small callsets</w:t>
            </w:r>
          </w:p>
        </w:tc>
        <w:tc>
          <w:tcPr>
            <w:tcW w:w="3324" w:type="dxa"/>
            <w:tcMar>
              <w:top w:w="60" w:type="dxa"/>
              <w:left w:w="90" w:type="dxa"/>
              <w:bottom w:w="60" w:type="dxa"/>
              <w:right w:w="90" w:type="dxa"/>
            </w:tcMar>
          </w:tcPr>
          <w:p w14:paraId="74240E97">
            <w:pPr>
              <w:spacing w:before="40" w:after="40" w:line="240" w:lineRule="auto"/>
              <w:jc w:val="left"/>
            </w:pPr>
            <w:r>
              <w:rPr>
                <w:rFonts w:ascii="Calibri" w:hAnsi="Calibri" w:eastAsia="Calibri" w:cs="Calibri"/>
                <w:color w:val="1C2733"/>
                <w:sz w:val="15"/>
                <w:szCs w:val="15"/>
              </w:rPr>
              <w:t>Hard filtering / single-sample path</w:t>
            </w:r>
          </w:p>
        </w:tc>
      </w:tr>
      <w:tr w14:paraId="69D7FCE0">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shd w:val="clear" w:color="auto" w:fill="F6F8FA"/>
            <w:tcMar>
              <w:top w:w="60" w:type="dxa"/>
              <w:left w:w="90" w:type="dxa"/>
              <w:bottom w:w="60" w:type="dxa"/>
              <w:right w:w="90" w:type="dxa"/>
            </w:tcMar>
          </w:tcPr>
          <w:p w14:paraId="2B296AE6">
            <w:pPr>
              <w:spacing w:before="40" w:after="40" w:line="240" w:lineRule="auto"/>
              <w:jc w:val="left"/>
            </w:pPr>
            <w:r>
              <w:rPr>
                <w:rFonts w:ascii="Calibri" w:hAnsi="Calibri" w:eastAsia="Calibri" w:cs="Calibri"/>
                <w:color w:val="1C2733"/>
                <w:sz w:val="15"/>
                <w:szCs w:val="15"/>
              </w:rPr>
              <w:t>Q2</w:t>
            </w:r>
          </w:p>
        </w:tc>
        <w:tc>
          <w:tcPr>
            <w:tcW w:w="2800" w:type="dxa"/>
            <w:shd w:val="clear" w:color="auto" w:fill="F6F8FA"/>
            <w:tcMar>
              <w:top w:w="60" w:type="dxa"/>
              <w:left w:w="90" w:type="dxa"/>
              <w:bottom w:w="60" w:type="dxa"/>
              <w:right w:w="90" w:type="dxa"/>
            </w:tcMar>
          </w:tcPr>
          <w:p w14:paraId="5D47C158">
            <w:pPr>
              <w:spacing w:before="40" w:after="40" w:line="240" w:lineRule="auto"/>
              <w:jc w:val="left"/>
            </w:pPr>
            <w:r>
              <w:rPr>
                <w:rFonts w:ascii="Calibri" w:hAnsi="Calibri" w:eastAsia="Calibri" w:cs="Calibri"/>
                <w:color w:val="1C2733"/>
                <w:sz w:val="15"/>
                <w:szCs w:val="15"/>
              </w:rPr>
              <w:t>Deduplicate at the FASTQ stage</w:t>
            </w:r>
          </w:p>
        </w:tc>
        <w:tc>
          <w:tcPr>
            <w:tcW w:w="3600" w:type="dxa"/>
            <w:shd w:val="clear" w:color="auto" w:fill="F6F8FA"/>
            <w:tcMar>
              <w:top w:w="60" w:type="dxa"/>
              <w:left w:w="90" w:type="dxa"/>
              <w:bottom w:w="60" w:type="dxa"/>
              <w:right w:w="90" w:type="dxa"/>
            </w:tcMar>
          </w:tcPr>
          <w:p w14:paraId="13A2B42F">
            <w:pPr>
              <w:spacing w:before="40" w:after="40" w:line="240" w:lineRule="auto"/>
              <w:jc w:val="left"/>
            </w:pPr>
            <w:r>
              <w:rPr>
                <w:rFonts w:ascii="Calibri" w:hAnsi="Calibri" w:eastAsia="Calibri" w:cs="Calibri"/>
                <w:color w:val="1C2733"/>
                <w:sz w:val="15"/>
                <w:szCs w:val="15"/>
              </w:rPr>
              <w:t>FastQC duplication module reads only the first 100,000 reads, truncated to 50 bp</w:t>
            </w:r>
          </w:p>
        </w:tc>
        <w:tc>
          <w:tcPr>
            <w:tcW w:w="3324" w:type="dxa"/>
            <w:shd w:val="clear" w:color="auto" w:fill="F6F8FA"/>
            <w:tcMar>
              <w:top w:w="60" w:type="dxa"/>
              <w:left w:w="90" w:type="dxa"/>
              <w:bottom w:w="60" w:type="dxa"/>
              <w:right w:w="90" w:type="dxa"/>
            </w:tcMar>
          </w:tcPr>
          <w:p w14:paraId="31367C35">
            <w:pPr>
              <w:spacing w:before="40" w:after="40" w:line="240" w:lineRule="auto"/>
              <w:jc w:val="left"/>
            </w:pPr>
            <w:r>
              <w:rPr>
                <w:rFonts w:ascii="Calibri" w:hAnsi="Calibri" w:eastAsia="Calibri" w:cs="Calibri"/>
                <w:color w:val="1C2733"/>
                <w:sz w:val="15"/>
                <w:szCs w:val="15"/>
              </w:rPr>
              <w:t>MarkDuplicates after alignment instead</w:t>
            </w:r>
          </w:p>
        </w:tc>
      </w:tr>
      <w:tr w14:paraId="7421E67F">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tcMar>
              <w:top w:w="60" w:type="dxa"/>
              <w:left w:w="90" w:type="dxa"/>
              <w:bottom w:w="60" w:type="dxa"/>
              <w:right w:w="90" w:type="dxa"/>
            </w:tcMar>
          </w:tcPr>
          <w:p w14:paraId="00F0DE06">
            <w:pPr>
              <w:spacing w:before="40" w:after="40" w:line="240" w:lineRule="auto"/>
              <w:jc w:val="left"/>
            </w:pPr>
            <w:r>
              <w:rPr>
                <w:rFonts w:ascii="Calibri" w:hAnsi="Calibri" w:eastAsia="Calibri" w:cs="Calibri"/>
                <w:color w:val="1C2733"/>
                <w:sz w:val="15"/>
                <w:szCs w:val="15"/>
              </w:rPr>
              <w:t>Q4</w:t>
            </w:r>
          </w:p>
        </w:tc>
        <w:tc>
          <w:tcPr>
            <w:tcW w:w="2800" w:type="dxa"/>
            <w:tcMar>
              <w:top w:w="60" w:type="dxa"/>
              <w:left w:w="90" w:type="dxa"/>
              <w:bottom w:w="60" w:type="dxa"/>
              <w:right w:w="90" w:type="dxa"/>
            </w:tcMar>
          </w:tcPr>
          <w:p w14:paraId="60F6BDBE">
            <w:pPr>
              <w:spacing w:before="40" w:after="40" w:line="240" w:lineRule="auto"/>
              <w:jc w:val="left"/>
            </w:pPr>
            <w:r>
              <w:rPr>
                <w:rFonts w:ascii="Calibri" w:hAnsi="Calibri" w:eastAsia="Calibri" w:cs="Calibri"/>
                <w:color w:val="1C2733"/>
                <w:sz w:val="15"/>
                <w:szCs w:val="15"/>
              </w:rPr>
              <w:t>chr17:7,673,803 is a splice_acceptor_variant</w:t>
            </w:r>
          </w:p>
        </w:tc>
        <w:tc>
          <w:tcPr>
            <w:tcW w:w="3600" w:type="dxa"/>
            <w:tcMar>
              <w:top w:w="60" w:type="dxa"/>
              <w:left w:w="90" w:type="dxa"/>
              <w:bottom w:w="60" w:type="dxa"/>
              <w:right w:w="90" w:type="dxa"/>
            </w:tcMar>
          </w:tcPr>
          <w:p w14:paraId="39110ACC">
            <w:pPr>
              <w:spacing w:before="40" w:after="40" w:line="240" w:lineRule="auto"/>
              <w:jc w:val="left"/>
            </w:pPr>
            <w:r>
              <w:rPr>
                <w:rFonts w:ascii="Calibri" w:hAnsi="Calibri" w:eastAsia="Calibri" w:cs="Calibri"/>
                <w:color w:val="1C2733"/>
                <w:sz w:val="15"/>
                <w:szCs w:val="15"/>
              </w:rPr>
              <w:t>Ensembl VEP GRCh38: TP53 p.Arg273Cys missense, rs121913343</w:t>
            </w:r>
          </w:p>
        </w:tc>
        <w:tc>
          <w:tcPr>
            <w:tcW w:w="3324" w:type="dxa"/>
            <w:tcMar>
              <w:top w:w="60" w:type="dxa"/>
              <w:left w:w="90" w:type="dxa"/>
              <w:bottom w:w="60" w:type="dxa"/>
              <w:right w:w="90" w:type="dxa"/>
            </w:tcMar>
          </w:tcPr>
          <w:p w14:paraId="7817F040">
            <w:pPr>
              <w:spacing w:before="40" w:after="40" w:line="240" w:lineRule="auto"/>
              <w:jc w:val="left"/>
            </w:pPr>
            <w:r>
              <w:rPr>
                <w:rFonts w:ascii="Calibri" w:hAnsi="Calibri" w:eastAsia="Calibri" w:cs="Calibri"/>
                <w:color w:val="1C2733"/>
                <w:sz w:val="15"/>
                <w:szCs w:val="15"/>
              </w:rPr>
              <w:t>Mechanism and proposed experiment changed</w:t>
            </w:r>
          </w:p>
        </w:tc>
      </w:tr>
      <w:tr w14:paraId="684E8AB1">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shd w:val="clear" w:color="auto" w:fill="F6F8FA"/>
            <w:tcMar>
              <w:top w:w="60" w:type="dxa"/>
              <w:left w:w="90" w:type="dxa"/>
              <w:bottom w:w="60" w:type="dxa"/>
              <w:right w:w="90" w:type="dxa"/>
            </w:tcMar>
          </w:tcPr>
          <w:p w14:paraId="4E84D70C">
            <w:pPr>
              <w:spacing w:before="40" w:after="40" w:line="240" w:lineRule="auto"/>
              <w:jc w:val="left"/>
            </w:pPr>
            <w:r>
              <w:rPr>
                <w:rFonts w:ascii="Calibri" w:hAnsi="Calibri" w:eastAsia="Calibri" w:cs="Calibri"/>
                <w:color w:val="1C2733"/>
                <w:sz w:val="15"/>
                <w:szCs w:val="15"/>
              </w:rPr>
              <w:t>Q4</w:t>
            </w:r>
          </w:p>
        </w:tc>
        <w:tc>
          <w:tcPr>
            <w:tcW w:w="2800" w:type="dxa"/>
            <w:shd w:val="clear" w:color="auto" w:fill="F6F8FA"/>
            <w:tcMar>
              <w:top w:w="60" w:type="dxa"/>
              <w:left w:w="90" w:type="dxa"/>
              <w:bottom w:w="60" w:type="dxa"/>
              <w:right w:w="90" w:type="dxa"/>
            </w:tcMar>
          </w:tcPr>
          <w:p w14:paraId="0A6B6369">
            <w:pPr>
              <w:spacing w:before="40" w:after="40" w:line="240" w:lineRule="auto"/>
              <w:jc w:val="left"/>
            </w:pPr>
            <w:r>
              <w:rPr>
                <w:rFonts w:ascii="Calibri" w:hAnsi="Calibri" w:eastAsia="Calibri" w:cs="Calibri"/>
                <w:color w:val="1C2733"/>
                <w:sz w:val="15"/>
                <w:szCs w:val="15"/>
              </w:rPr>
              <w:t>chr13:32,316,461 is a missense VUS</w:t>
            </w:r>
          </w:p>
        </w:tc>
        <w:tc>
          <w:tcPr>
            <w:tcW w:w="3600" w:type="dxa"/>
            <w:shd w:val="clear" w:color="auto" w:fill="F6F8FA"/>
            <w:tcMar>
              <w:top w:w="60" w:type="dxa"/>
              <w:left w:w="90" w:type="dxa"/>
              <w:bottom w:w="60" w:type="dxa"/>
              <w:right w:w="90" w:type="dxa"/>
            </w:tcMar>
          </w:tcPr>
          <w:p w14:paraId="0FEA082E">
            <w:pPr>
              <w:spacing w:before="40" w:after="40" w:line="240" w:lineRule="auto"/>
              <w:jc w:val="left"/>
            </w:pPr>
            <w:r>
              <w:rPr>
                <w:rFonts w:ascii="Calibri" w:hAnsi="Calibri" w:eastAsia="Calibri" w:cs="Calibri"/>
                <w:color w:val="1C2733"/>
                <w:sz w:val="15"/>
                <w:szCs w:val="15"/>
              </w:rPr>
              <w:t>Ensembl VEP GRCh38: start_lost on MANE ENST00000380152</w:t>
            </w:r>
          </w:p>
        </w:tc>
        <w:tc>
          <w:tcPr>
            <w:tcW w:w="3324" w:type="dxa"/>
            <w:shd w:val="clear" w:color="auto" w:fill="F6F8FA"/>
            <w:tcMar>
              <w:top w:w="60" w:type="dxa"/>
              <w:left w:w="90" w:type="dxa"/>
              <w:bottom w:w="60" w:type="dxa"/>
              <w:right w:w="90" w:type="dxa"/>
            </w:tcMar>
          </w:tcPr>
          <w:p w14:paraId="5CA8D883">
            <w:pPr>
              <w:spacing w:before="40" w:after="40" w:line="240" w:lineRule="auto"/>
              <w:jc w:val="left"/>
            </w:pPr>
            <w:r>
              <w:rPr>
                <w:rFonts w:ascii="Calibri" w:hAnsi="Calibri" w:eastAsia="Calibri" w:cs="Calibri"/>
                <w:color w:val="1C2733"/>
                <w:sz w:val="15"/>
                <w:szCs w:val="15"/>
              </w:rPr>
              <w:t>Promoted to rank 2</w:t>
            </w:r>
          </w:p>
        </w:tc>
      </w:tr>
      <w:tr w14:paraId="056CFEE6">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tcMar>
              <w:top w:w="60" w:type="dxa"/>
              <w:left w:w="90" w:type="dxa"/>
              <w:bottom w:w="60" w:type="dxa"/>
              <w:right w:w="90" w:type="dxa"/>
            </w:tcMar>
          </w:tcPr>
          <w:p w14:paraId="5D2A48B0">
            <w:pPr>
              <w:spacing w:before="40" w:after="40" w:line="240" w:lineRule="auto"/>
              <w:jc w:val="left"/>
            </w:pPr>
            <w:r>
              <w:rPr>
                <w:rFonts w:ascii="Calibri" w:hAnsi="Calibri" w:eastAsia="Calibri" w:cs="Calibri"/>
                <w:color w:val="1C2733"/>
                <w:sz w:val="15"/>
                <w:szCs w:val="15"/>
              </w:rPr>
              <w:t>Q4</w:t>
            </w:r>
          </w:p>
        </w:tc>
        <w:tc>
          <w:tcPr>
            <w:tcW w:w="2800" w:type="dxa"/>
            <w:tcMar>
              <w:top w:w="60" w:type="dxa"/>
              <w:left w:w="90" w:type="dxa"/>
              <w:bottom w:w="60" w:type="dxa"/>
              <w:right w:w="90" w:type="dxa"/>
            </w:tcMar>
          </w:tcPr>
          <w:p w14:paraId="5CE3F5E9">
            <w:pPr>
              <w:spacing w:before="40" w:after="40" w:line="240" w:lineRule="auto"/>
              <w:jc w:val="left"/>
            </w:pPr>
            <w:r>
              <w:rPr>
                <w:rFonts w:ascii="Calibri" w:hAnsi="Calibri" w:eastAsia="Calibri" w:cs="Calibri"/>
                <w:color w:val="1C2733"/>
                <w:sz w:val="15"/>
                <w:szCs w:val="15"/>
              </w:rPr>
              <w:t>CLINVAR_ID VCV000012345 supports the TP53 call</w:t>
            </w:r>
          </w:p>
        </w:tc>
        <w:tc>
          <w:tcPr>
            <w:tcW w:w="3600" w:type="dxa"/>
            <w:tcMar>
              <w:top w:w="60" w:type="dxa"/>
              <w:left w:w="90" w:type="dxa"/>
              <w:bottom w:w="60" w:type="dxa"/>
              <w:right w:w="90" w:type="dxa"/>
            </w:tcMar>
          </w:tcPr>
          <w:p w14:paraId="155235BB">
            <w:pPr>
              <w:spacing w:before="40" w:after="40" w:line="240" w:lineRule="auto"/>
              <w:jc w:val="left"/>
            </w:pPr>
            <w:r>
              <w:rPr>
                <w:rFonts w:ascii="Calibri" w:hAnsi="Calibri" w:eastAsia="Calibri" w:cs="Calibri"/>
                <w:color w:val="1C2733"/>
                <w:sz w:val="15"/>
                <w:szCs w:val="15"/>
              </w:rPr>
              <w:t>ClinVar: VCV000012345 is TNFRSF1A c.295T&gt;A</w:t>
            </w:r>
          </w:p>
        </w:tc>
        <w:tc>
          <w:tcPr>
            <w:tcW w:w="3324" w:type="dxa"/>
            <w:tcMar>
              <w:top w:w="60" w:type="dxa"/>
              <w:left w:w="90" w:type="dxa"/>
              <w:bottom w:w="60" w:type="dxa"/>
              <w:right w:w="90" w:type="dxa"/>
            </w:tcMar>
          </w:tcPr>
          <w:p w14:paraId="5CF5B6C8">
            <w:pPr>
              <w:spacing w:before="40" w:after="40" w:line="240" w:lineRule="auto"/>
              <w:jc w:val="left"/>
            </w:pPr>
            <w:r>
              <w:rPr>
                <w:rFonts w:ascii="Calibri" w:hAnsi="Calibri" w:eastAsia="Calibri" w:cs="Calibri"/>
                <w:color w:val="1C2733"/>
                <w:sz w:val="15"/>
                <w:szCs w:val="15"/>
              </w:rPr>
              <w:t>Label treated as unsourced</w:t>
            </w:r>
          </w:p>
        </w:tc>
      </w:tr>
      <w:tr w14:paraId="0331C87D">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shd w:val="clear" w:color="auto" w:fill="F6F8FA"/>
            <w:tcMar>
              <w:top w:w="60" w:type="dxa"/>
              <w:left w:w="90" w:type="dxa"/>
              <w:bottom w:w="60" w:type="dxa"/>
              <w:right w:w="90" w:type="dxa"/>
            </w:tcMar>
          </w:tcPr>
          <w:p w14:paraId="41486C6A">
            <w:pPr>
              <w:spacing w:before="40" w:after="40" w:line="240" w:lineRule="auto"/>
              <w:jc w:val="left"/>
            </w:pPr>
            <w:r>
              <w:rPr>
                <w:rFonts w:ascii="Calibri" w:hAnsi="Calibri" w:eastAsia="Calibri" w:cs="Calibri"/>
                <w:color w:val="1C2733"/>
                <w:sz w:val="15"/>
                <w:szCs w:val="15"/>
              </w:rPr>
              <w:t>Q4</w:t>
            </w:r>
          </w:p>
        </w:tc>
        <w:tc>
          <w:tcPr>
            <w:tcW w:w="2800" w:type="dxa"/>
            <w:shd w:val="clear" w:color="auto" w:fill="F6F8FA"/>
            <w:tcMar>
              <w:top w:w="60" w:type="dxa"/>
              <w:left w:w="90" w:type="dxa"/>
              <w:bottom w:w="60" w:type="dxa"/>
              <w:right w:w="90" w:type="dxa"/>
            </w:tcMar>
          </w:tcPr>
          <w:p w14:paraId="5C1DC7F9">
            <w:pPr>
              <w:spacing w:before="40" w:after="40" w:line="240" w:lineRule="auto"/>
              <w:jc w:val="left"/>
            </w:pPr>
            <w:r>
              <w:rPr>
                <w:rFonts w:ascii="Calibri" w:hAnsi="Calibri" w:eastAsia="Calibri" w:cs="Calibri"/>
                <w:color w:val="1C2733"/>
                <w:sz w:val="15"/>
                <w:szCs w:val="15"/>
              </w:rPr>
              <w:t>F5 chr1:169,519,049 is Benign with AF 0.42</w:t>
            </w:r>
          </w:p>
        </w:tc>
        <w:tc>
          <w:tcPr>
            <w:tcW w:w="3600" w:type="dxa"/>
            <w:shd w:val="clear" w:color="auto" w:fill="F6F8FA"/>
            <w:tcMar>
              <w:top w:w="60" w:type="dxa"/>
              <w:left w:w="90" w:type="dxa"/>
              <w:bottom w:w="60" w:type="dxa"/>
              <w:right w:w="90" w:type="dxa"/>
            </w:tcMar>
          </w:tcPr>
          <w:p w14:paraId="06F1A758">
            <w:pPr>
              <w:spacing w:before="40" w:after="40" w:line="240" w:lineRule="auto"/>
              <w:jc w:val="left"/>
            </w:pPr>
            <w:r>
              <w:rPr>
                <w:rFonts w:ascii="Calibri" w:hAnsi="Calibri" w:eastAsia="Calibri" w:cs="Calibri"/>
                <w:color w:val="1C2733"/>
                <w:sz w:val="15"/>
                <w:szCs w:val="15"/>
              </w:rPr>
              <w:t>GRCh37 coordinate of rs6025 (Factor V Leiden); ClinVar VCV000000642 Pathogenic/risk factor; gnomAD ~0.017–0.022</w:t>
            </w:r>
          </w:p>
        </w:tc>
        <w:tc>
          <w:tcPr>
            <w:tcW w:w="3324" w:type="dxa"/>
            <w:shd w:val="clear" w:color="auto" w:fill="F6F8FA"/>
            <w:tcMar>
              <w:top w:w="60" w:type="dxa"/>
              <w:left w:w="90" w:type="dxa"/>
              <w:bottom w:w="60" w:type="dxa"/>
              <w:right w:w="90" w:type="dxa"/>
            </w:tcMar>
          </w:tcPr>
          <w:p w14:paraId="738132FE">
            <w:pPr>
              <w:spacing w:before="40" w:after="40" w:line="240" w:lineRule="auto"/>
              <w:jc w:val="left"/>
            </w:pPr>
            <w:r>
              <w:rPr>
                <w:rFonts w:ascii="Calibri" w:hAnsi="Calibri" w:eastAsia="Calibri" w:cs="Calibri"/>
                <w:color w:val="1C2733"/>
                <w:sz w:val="15"/>
                <w:szCs w:val="15"/>
              </w:rPr>
              <w:t>Exclusion upheld, but the row shown to be internally inconsistent</w:t>
            </w:r>
          </w:p>
        </w:tc>
      </w:tr>
      <w:tr w14:paraId="56FF1DDE">
        <w:tblPrEx>
          <w:tblBorders>
            <w:top w:val="single" w:color="B9C3CC" w:sz="4" w:space="0"/>
            <w:left w:val="single" w:color="B9C3CC" w:sz="4" w:space="0"/>
            <w:bottom w:val="single" w:color="B9C3CC" w:sz="4" w:space="0"/>
            <w:right w:val="single" w:color="B9C3CC" w:sz="4" w:space="0"/>
            <w:insideH w:val="single" w:color="D6DDE4" w:sz="2" w:space="0"/>
            <w:insideV w:val="single" w:color="D6DDE4" w:sz="2" w:space="0"/>
          </w:tblBorders>
          <w:tblCellMar>
            <w:top w:w="0" w:type="dxa"/>
            <w:left w:w="10" w:type="dxa"/>
            <w:bottom w:w="0" w:type="dxa"/>
            <w:right w:w="10" w:type="dxa"/>
          </w:tblCellMar>
        </w:tblPrEx>
        <w:tc>
          <w:tcPr>
            <w:tcW w:w="500" w:type="dxa"/>
            <w:tcMar>
              <w:top w:w="60" w:type="dxa"/>
              <w:left w:w="90" w:type="dxa"/>
              <w:bottom w:w="60" w:type="dxa"/>
              <w:right w:w="90" w:type="dxa"/>
            </w:tcMar>
          </w:tcPr>
          <w:p w14:paraId="25FF699D">
            <w:pPr>
              <w:spacing w:before="40" w:after="40" w:line="240" w:lineRule="auto"/>
              <w:jc w:val="left"/>
            </w:pPr>
            <w:r>
              <w:rPr>
                <w:rFonts w:ascii="Calibri" w:hAnsi="Calibri" w:eastAsia="Calibri" w:cs="Calibri"/>
                <w:color w:val="1C2733"/>
                <w:sz w:val="15"/>
                <w:szCs w:val="15"/>
              </w:rPr>
              <w:t>Q4</w:t>
            </w:r>
          </w:p>
        </w:tc>
        <w:tc>
          <w:tcPr>
            <w:tcW w:w="2800" w:type="dxa"/>
            <w:tcMar>
              <w:top w:w="60" w:type="dxa"/>
              <w:left w:w="90" w:type="dxa"/>
              <w:bottom w:w="60" w:type="dxa"/>
              <w:right w:w="90" w:type="dxa"/>
            </w:tcMar>
          </w:tcPr>
          <w:p w14:paraId="1BC98EBC">
            <w:pPr>
              <w:spacing w:before="40" w:after="40" w:line="240" w:lineRule="auto"/>
              <w:jc w:val="left"/>
            </w:pPr>
            <w:r>
              <w:rPr>
                <w:rFonts w:ascii="Calibri" w:hAnsi="Calibri" w:eastAsia="Calibri" w:cs="Calibri"/>
                <w:color w:val="1C2733"/>
                <w:sz w:val="15"/>
                <w:szCs w:val="15"/>
              </w:rPr>
              <w:t>The table uses one coordinate system</w:t>
            </w:r>
          </w:p>
        </w:tc>
        <w:tc>
          <w:tcPr>
            <w:tcW w:w="3600" w:type="dxa"/>
            <w:tcMar>
              <w:top w:w="60" w:type="dxa"/>
              <w:left w:w="90" w:type="dxa"/>
              <w:bottom w:w="60" w:type="dxa"/>
              <w:right w:w="90" w:type="dxa"/>
            </w:tcMar>
          </w:tcPr>
          <w:p w14:paraId="3CB75692">
            <w:pPr>
              <w:spacing w:before="40" w:after="40" w:line="240" w:lineRule="auto"/>
              <w:jc w:val="left"/>
            </w:pPr>
            <w:r>
              <w:rPr>
                <w:rFonts w:ascii="Calibri" w:hAnsi="Calibri" w:eastAsia="Calibri" w:cs="Calibri"/>
                <w:color w:val="1C2733"/>
                <w:sz w:val="15"/>
                <w:szCs w:val="15"/>
              </w:rPr>
              <w:t>Coordinates resolve variously under GRCh38 and GRCh37; no build is declared</w:t>
            </w:r>
          </w:p>
        </w:tc>
        <w:tc>
          <w:tcPr>
            <w:tcW w:w="3324" w:type="dxa"/>
            <w:tcMar>
              <w:top w:w="60" w:type="dxa"/>
              <w:left w:w="90" w:type="dxa"/>
              <w:bottom w:w="60" w:type="dxa"/>
              <w:right w:w="90" w:type="dxa"/>
            </w:tcMar>
          </w:tcPr>
          <w:p w14:paraId="59EF39C8">
            <w:pPr>
              <w:spacing w:before="40" w:after="40" w:line="240" w:lineRule="auto"/>
              <w:jc w:val="left"/>
            </w:pPr>
            <w:r>
              <w:rPr>
                <w:rFonts w:ascii="Calibri" w:hAnsi="Calibri" w:eastAsia="Calibri" w:cs="Calibri"/>
                <w:color w:val="1C2733"/>
                <w:sz w:val="15"/>
                <w:szCs w:val="15"/>
              </w:rPr>
              <w:t>All coordinate-based claims marked provisional pending re-call</w:t>
            </w:r>
          </w:p>
        </w:tc>
      </w:tr>
    </w:tbl>
    <w:p w14:paraId="5F45D86B">
      <w:pPr>
        <w:pStyle w:val="2"/>
        <w:pBdr>
          <w:bottom w:val="single" w:color="2B6CA3" w:sz="10" w:space="4"/>
        </w:pBdr>
        <w:spacing w:before="320" w:after="140"/>
      </w:pPr>
      <w:r>
        <w:rPr>
          <w:rFonts w:ascii="Calibri" w:hAnsi="Calibri" w:eastAsia="Calibri" w:cs="Calibri"/>
          <w:b/>
          <w:bCs/>
          <w:color w:val="2B6CA3"/>
          <w:sz w:val="28"/>
          <w:szCs w:val="28"/>
        </w:rPr>
        <w:t>Appendix B — Q4 filter code and executed output</w:t>
      </w:r>
    </w:p>
    <w:p w14:paraId="0250E223">
      <w:pPr>
        <w:spacing w:before="60" w:after="100" w:line="276" w:lineRule="auto"/>
        <w:jc w:val="left"/>
      </w:pPr>
      <w:r>
        <w:rPr>
          <w:rFonts w:ascii="Calibri" w:hAnsi="Calibri" w:eastAsia="Calibri" w:cs="Calibri"/>
          <w:color w:val="1C2733"/>
          <w:sz w:val="21"/>
          <w:szCs w:val="21"/>
        </w:rPr>
        <w:t>The supplied skeleton starter/q4_filter_starter.R with my thresholds and ranking logic filled in:</w:t>
      </w:r>
    </w:p>
    <w:p w14:paraId="65C3AD77">
      <w:pPr>
        <w:shd w:val="clear" w:fill="F4F5F7"/>
        <w:spacing w:before="100" w:after="0" w:line="230" w:lineRule="auto"/>
        <w:ind w:left="140" w:right="140"/>
      </w:pPr>
      <w:r>
        <w:rPr>
          <w:rFonts w:ascii="Consolas" w:hAnsi="Consolas" w:eastAsia="Consolas" w:cs="Consolas"/>
          <w:color w:val="243040"/>
          <w:sz w:val="16"/>
          <w:szCs w:val="16"/>
        </w:rPr>
        <w:t>library(readr); library(dplyr)</w:t>
      </w:r>
    </w:p>
    <w:p w14:paraId="76403D1E">
      <w:pPr>
        <w:shd w:val="clear" w:fill="F4F5F7"/>
        <w:spacing w:before="0" w:after="0" w:line="230" w:lineRule="auto"/>
        <w:ind w:left="140" w:right="140"/>
      </w:pPr>
      <w:r>
        <w:rPr>
          <w:rFonts w:ascii="Consolas" w:hAnsi="Consolas" w:eastAsia="Consolas" w:cs="Consolas"/>
          <w:color w:val="243040"/>
          <w:sz w:val="16"/>
          <w:szCs w:val="16"/>
        </w:rPr>
        <w:t xml:space="preserve"> </w:t>
      </w:r>
    </w:p>
    <w:p w14:paraId="6C2C839D">
      <w:pPr>
        <w:shd w:val="clear" w:fill="F4F5F7"/>
        <w:spacing w:before="0" w:after="0" w:line="230" w:lineRule="auto"/>
        <w:ind w:left="140" w:right="140"/>
      </w:pPr>
      <w:r>
        <w:rPr>
          <w:rFonts w:ascii="Consolas" w:hAnsi="Consolas" w:eastAsia="Consolas" w:cs="Consolas"/>
          <w:color w:val="243040"/>
          <w:sz w:val="16"/>
          <w:szCs w:val="16"/>
        </w:rPr>
        <w:t>variants &lt;- read_tsv(file.path("..","data","variants_q4.tsv"),</w:t>
      </w:r>
    </w:p>
    <w:p w14:paraId="12F75331">
      <w:pPr>
        <w:shd w:val="clear" w:fill="F4F5F7"/>
        <w:spacing w:before="0" w:after="0" w:line="230" w:lineRule="auto"/>
        <w:ind w:left="140" w:right="140"/>
      </w:pPr>
      <w:r>
        <w:rPr>
          <w:rFonts w:ascii="Consolas" w:hAnsi="Consolas" w:eastAsia="Consolas" w:cs="Consolas"/>
          <w:color w:val="243040"/>
          <w:sz w:val="16"/>
          <w:szCs w:val="16"/>
        </w:rPr>
        <w:t xml:space="preserve">                     comment = "#", show_col_types = FALSE)</w:t>
      </w:r>
    </w:p>
    <w:p w14:paraId="2DB56177">
      <w:pPr>
        <w:shd w:val="clear" w:fill="F4F5F7"/>
        <w:spacing w:before="0" w:after="0" w:line="230" w:lineRule="auto"/>
        <w:ind w:left="140" w:right="140"/>
      </w:pPr>
      <w:r>
        <w:rPr>
          <w:rFonts w:ascii="Consolas" w:hAnsi="Consolas" w:eastAsia="Consolas" w:cs="Consolas"/>
          <w:color w:val="243040"/>
          <w:sz w:val="16"/>
          <w:szCs w:val="16"/>
        </w:rPr>
        <w:t xml:space="preserve"> </w:t>
      </w:r>
    </w:p>
    <w:p w14:paraId="1EABEAFC">
      <w:pPr>
        <w:shd w:val="clear" w:fill="F4F5F7"/>
        <w:spacing w:before="0" w:after="0" w:line="230" w:lineRule="auto"/>
        <w:ind w:left="140" w:right="140"/>
      </w:pPr>
      <w:r>
        <w:rPr>
          <w:rFonts w:ascii="Consolas" w:hAnsi="Consolas" w:eastAsia="Consolas" w:cs="Consolas"/>
          <w:color w:val="243040"/>
          <w:sz w:val="16"/>
          <w:szCs w:val="16"/>
        </w:rPr>
        <w:t># --- my thresholds (see Q4 section 1 for the rationale of each) ---</w:t>
      </w:r>
    </w:p>
    <w:p w14:paraId="0D60AF45">
      <w:pPr>
        <w:shd w:val="clear" w:fill="F4F5F7"/>
        <w:spacing w:before="0" w:after="0" w:line="230" w:lineRule="auto"/>
        <w:ind w:left="140" w:right="140"/>
      </w:pPr>
      <w:r>
        <w:rPr>
          <w:rFonts w:ascii="Consolas" w:hAnsi="Consolas" w:eastAsia="Consolas" w:cs="Consolas"/>
          <w:color w:val="243040"/>
          <w:sz w:val="16"/>
          <w:szCs w:val="16"/>
        </w:rPr>
        <w:t>min_dp       &lt;- 20      # confident germline heterozygote calling</w:t>
      </w:r>
    </w:p>
    <w:p w14:paraId="1743BC43">
      <w:pPr>
        <w:shd w:val="clear" w:fill="F4F5F7"/>
        <w:spacing w:before="0" w:after="0" w:line="230" w:lineRule="auto"/>
        <w:ind w:left="140" w:right="140"/>
      </w:pPr>
      <w:r>
        <w:rPr>
          <w:rFonts w:ascii="Consolas" w:hAnsi="Consolas" w:eastAsia="Consolas" w:cs="Consolas"/>
          <w:color w:val="243040"/>
          <w:sz w:val="16"/>
          <w:szCs w:val="16"/>
        </w:rPr>
        <w:t>min_gq       &lt;- 30      # ~1-in-1000 chance the genotype call is wrong</w:t>
      </w:r>
    </w:p>
    <w:p w14:paraId="34990669">
      <w:pPr>
        <w:shd w:val="clear" w:fill="F4F5F7"/>
        <w:spacing w:before="0" w:after="0" w:line="230" w:lineRule="auto"/>
        <w:ind w:left="140" w:right="140"/>
      </w:pPr>
      <w:r>
        <w:rPr>
          <w:rFonts w:ascii="Consolas" w:hAnsi="Consolas" w:eastAsia="Consolas" w:cs="Consolas"/>
          <w:color w:val="243040"/>
          <w:sz w:val="16"/>
          <w:szCs w:val="16"/>
        </w:rPr>
        <w:t>max_af       &lt;- 0.001   # rare penetrant disease premise, NOT a universal constant</w:t>
      </w:r>
    </w:p>
    <w:p w14:paraId="26501204">
      <w:pPr>
        <w:shd w:val="clear" w:fill="F4F5F7"/>
        <w:spacing w:before="0" w:after="0" w:line="230" w:lineRule="auto"/>
        <w:ind w:left="140" w:right="140"/>
      </w:pPr>
      <w:r>
        <w:rPr>
          <w:rFonts w:ascii="Consolas" w:hAnsi="Consolas" w:eastAsia="Consolas" w:cs="Consolas"/>
          <w:color w:val="243040"/>
          <w:sz w:val="16"/>
          <w:szCs w:val="16"/>
        </w:rPr>
        <w:t>require_pass &lt;- TRUE</w:t>
      </w:r>
    </w:p>
    <w:p w14:paraId="40E7F827">
      <w:pPr>
        <w:shd w:val="clear" w:fill="F4F5F7"/>
        <w:spacing w:before="0" w:after="0" w:line="230" w:lineRule="auto"/>
        <w:ind w:left="140" w:right="140"/>
      </w:pPr>
      <w:r>
        <w:rPr>
          <w:rFonts w:ascii="Consolas" w:hAnsi="Consolas" w:eastAsia="Consolas" w:cs="Consolas"/>
          <w:color w:val="243040"/>
          <w:sz w:val="16"/>
          <w:szCs w:val="16"/>
        </w:rPr>
        <w:t xml:space="preserve"> </w:t>
      </w:r>
    </w:p>
    <w:p w14:paraId="1134D4DB">
      <w:pPr>
        <w:shd w:val="clear" w:fill="F4F5F7"/>
        <w:spacing w:before="0" w:after="0" w:line="230" w:lineRule="auto"/>
        <w:ind w:left="140" w:right="140"/>
      </w:pPr>
      <w:r>
        <w:rPr>
          <w:rFonts w:ascii="Consolas" w:hAnsi="Consolas" w:eastAsia="Consolas" w:cs="Consolas"/>
          <w:color w:val="243040"/>
          <w:sz w:val="16"/>
          <w:szCs w:val="16"/>
        </w:rPr>
        <w:t>impact_consequences &lt;- c("stop_gained", "frameshift_variant",</w:t>
      </w:r>
    </w:p>
    <w:p w14:paraId="0868D903">
      <w:pPr>
        <w:shd w:val="clear" w:fill="F4F5F7"/>
        <w:spacing w:before="0" w:after="0" w:line="230" w:lineRule="auto"/>
        <w:ind w:left="140" w:right="140"/>
      </w:pPr>
      <w:r>
        <w:rPr>
          <w:rFonts w:ascii="Consolas" w:hAnsi="Consolas" w:eastAsia="Consolas" w:cs="Consolas"/>
          <w:color w:val="243040"/>
          <w:sz w:val="16"/>
          <w:szCs w:val="16"/>
        </w:rPr>
        <w:t xml:space="preserve">                         "splice_acceptor_variant", "splice_donor_variant",</w:t>
      </w:r>
    </w:p>
    <w:p w14:paraId="5D121C03">
      <w:pPr>
        <w:shd w:val="clear" w:fill="F4F5F7"/>
        <w:spacing w:before="0" w:after="0" w:line="230" w:lineRule="auto"/>
        <w:ind w:left="140" w:right="140"/>
      </w:pPr>
      <w:r>
        <w:rPr>
          <w:rFonts w:ascii="Consolas" w:hAnsi="Consolas" w:eastAsia="Consolas" w:cs="Consolas"/>
          <w:color w:val="243040"/>
          <w:sz w:val="16"/>
          <w:szCs w:val="16"/>
        </w:rPr>
        <w:t xml:space="preserve">                         "missense_variant")</w:t>
      </w:r>
    </w:p>
    <w:p w14:paraId="72F0C892">
      <w:pPr>
        <w:shd w:val="clear" w:fill="F4F5F7"/>
        <w:spacing w:before="0" w:after="0" w:line="230" w:lineRule="auto"/>
        <w:ind w:left="140" w:right="140"/>
      </w:pPr>
      <w:r>
        <w:rPr>
          <w:rFonts w:ascii="Consolas" w:hAnsi="Consolas" w:eastAsia="Consolas" w:cs="Consolas"/>
          <w:color w:val="243040"/>
          <w:sz w:val="16"/>
          <w:szCs w:val="16"/>
        </w:rPr>
        <w:t xml:space="preserve"> </w:t>
      </w:r>
    </w:p>
    <w:p w14:paraId="211B1BDE">
      <w:pPr>
        <w:shd w:val="clear" w:fill="F4F5F7"/>
        <w:spacing w:before="0" w:after="0" w:line="230" w:lineRule="auto"/>
        <w:ind w:left="140" w:right="140"/>
      </w:pPr>
      <w:r>
        <w:rPr>
          <w:rFonts w:ascii="Consolas" w:hAnsi="Consolas" w:eastAsia="Consolas" w:cs="Consolas"/>
          <w:color w:val="243040"/>
          <w:sz w:val="16"/>
          <w:szCs w:val="16"/>
        </w:rPr>
        <w:t>filtered &lt;- variants %&gt;%</w:t>
      </w:r>
    </w:p>
    <w:p w14:paraId="4790D192">
      <w:pPr>
        <w:shd w:val="clear" w:fill="F4F5F7"/>
        <w:spacing w:before="0" w:after="0" w:line="230" w:lineRule="auto"/>
        <w:ind w:left="140" w:right="140"/>
      </w:pPr>
      <w:r>
        <w:rPr>
          <w:rFonts w:ascii="Consolas" w:hAnsi="Consolas" w:eastAsia="Consolas" w:cs="Consolas"/>
          <w:color w:val="243040"/>
          <w:sz w:val="16"/>
          <w:szCs w:val="16"/>
        </w:rPr>
        <w:t xml:space="preserve">  filter(FILTER == "PASS",</w:t>
      </w:r>
    </w:p>
    <w:p w14:paraId="136182B0">
      <w:pPr>
        <w:shd w:val="clear" w:fill="F4F5F7"/>
        <w:spacing w:before="0" w:after="0" w:line="230" w:lineRule="auto"/>
        <w:ind w:left="140" w:right="140"/>
      </w:pPr>
      <w:r>
        <w:rPr>
          <w:rFonts w:ascii="Consolas" w:hAnsi="Consolas" w:eastAsia="Consolas" w:cs="Consolas"/>
          <w:color w:val="243040"/>
          <w:sz w:val="16"/>
          <w:szCs w:val="16"/>
        </w:rPr>
        <w:t xml:space="preserve">         DP &gt;= min_dp, GQ &gt;= min_gq, AF &lt;= max_af,</w:t>
      </w:r>
    </w:p>
    <w:p w14:paraId="7F990D6B">
      <w:pPr>
        <w:shd w:val="clear" w:fill="F4F5F7"/>
        <w:spacing w:before="0" w:after="0" w:line="230" w:lineRule="auto"/>
        <w:ind w:left="140" w:right="140"/>
      </w:pPr>
      <w:r>
        <w:rPr>
          <w:rFonts w:ascii="Consolas" w:hAnsi="Consolas" w:eastAsia="Consolas" w:cs="Consolas"/>
          <w:color w:val="243040"/>
          <w:sz w:val="16"/>
          <w:szCs w:val="16"/>
        </w:rPr>
        <w:t xml:space="preserve">         CONSEQUENCE %in% impact_consequences)</w:t>
      </w:r>
    </w:p>
    <w:p w14:paraId="20D09BB9">
      <w:pPr>
        <w:shd w:val="clear" w:fill="F4F5F7"/>
        <w:spacing w:before="0" w:after="0" w:line="230" w:lineRule="auto"/>
        <w:ind w:left="140" w:right="140"/>
      </w:pPr>
      <w:r>
        <w:rPr>
          <w:rFonts w:ascii="Consolas" w:hAnsi="Consolas" w:eastAsia="Consolas" w:cs="Consolas"/>
          <w:color w:val="243040"/>
          <w:sz w:val="16"/>
          <w:szCs w:val="16"/>
        </w:rPr>
        <w:t xml:space="preserve"> </w:t>
      </w:r>
    </w:p>
    <w:p w14:paraId="0F70CFBD">
      <w:pPr>
        <w:shd w:val="clear" w:fill="F4F5F7"/>
        <w:spacing w:before="0" w:after="0" w:line="230" w:lineRule="auto"/>
        <w:ind w:left="140" w:right="140"/>
      </w:pPr>
      <w:r>
        <w:rPr>
          <w:rFonts w:ascii="Consolas" w:hAnsi="Consolas" w:eastAsia="Consolas" w:cs="Consolas"/>
          <w:color w:val="243040"/>
          <w:sz w:val="16"/>
          <w:szCs w:val="16"/>
        </w:rPr>
        <w:t># ClinVar is used to RANK, never to filter (filtering on it would be circular)</w:t>
      </w:r>
    </w:p>
    <w:p w14:paraId="41C6C806">
      <w:pPr>
        <w:shd w:val="clear" w:fill="F4F5F7"/>
        <w:spacing w:before="0" w:after="0" w:line="230" w:lineRule="auto"/>
        <w:ind w:left="140" w:right="140"/>
      </w:pPr>
      <w:r>
        <w:rPr>
          <w:rFonts w:ascii="Consolas" w:hAnsi="Consolas" w:eastAsia="Consolas" w:cs="Consolas"/>
          <w:color w:val="243040"/>
          <w:sz w:val="16"/>
          <w:szCs w:val="16"/>
        </w:rPr>
        <w:t>sig_rank &lt;- c(Pathogenic = 1, Likely_pathogenic = 2,</w:t>
      </w:r>
    </w:p>
    <w:p w14:paraId="17B51F23">
      <w:pPr>
        <w:shd w:val="clear" w:fill="F4F5F7"/>
        <w:spacing w:before="0" w:after="0" w:line="230" w:lineRule="auto"/>
        <w:ind w:left="140" w:right="140"/>
      </w:pPr>
      <w:r>
        <w:rPr>
          <w:rFonts w:ascii="Consolas" w:hAnsi="Consolas" w:eastAsia="Consolas" w:cs="Consolas"/>
          <w:color w:val="243040"/>
          <w:sz w:val="16"/>
          <w:szCs w:val="16"/>
        </w:rPr>
        <w:t xml:space="preserve">              Conflicting_interpretations_of_pathogenicity = 3,</w:t>
      </w:r>
    </w:p>
    <w:p w14:paraId="7A8B32DE">
      <w:pPr>
        <w:shd w:val="clear" w:fill="F4F5F7"/>
        <w:spacing w:before="0" w:after="0" w:line="230" w:lineRule="auto"/>
        <w:ind w:left="140" w:right="140"/>
      </w:pPr>
      <w:r>
        <w:rPr>
          <w:rFonts w:ascii="Consolas" w:hAnsi="Consolas" w:eastAsia="Consolas" w:cs="Consolas"/>
          <w:color w:val="243040"/>
          <w:sz w:val="16"/>
          <w:szCs w:val="16"/>
        </w:rPr>
        <w:t xml:space="preserve">              Uncertain_significance = 4, Likely_benign = 5, Benign = 6)</w:t>
      </w:r>
    </w:p>
    <w:p w14:paraId="653AAC5D">
      <w:pPr>
        <w:shd w:val="clear" w:fill="F4F5F7"/>
        <w:spacing w:before="0" w:after="0" w:line="230" w:lineRule="auto"/>
        <w:ind w:left="140" w:right="140"/>
      </w:pPr>
      <w:r>
        <w:rPr>
          <w:rFonts w:ascii="Consolas" w:hAnsi="Consolas" w:eastAsia="Consolas" w:cs="Consolas"/>
          <w:color w:val="243040"/>
          <w:sz w:val="16"/>
          <w:szCs w:val="16"/>
        </w:rPr>
        <w:t xml:space="preserve"> </w:t>
      </w:r>
    </w:p>
    <w:p w14:paraId="669AAFEA">
      <w:pPr>
        <w:shd w:val="clear" w:fill="F4F5F7"/>
        <w:spacing w:before="0" w:after="0" w:line="230" w:lineRule="auto"/>
        <w:ind w:left="140" w:right="140"/>
      </w:pPr>
      <w:r>
        <w:rPr>
          <w:rFonts w:ascii="Consolas" w:hAnsi="Consolas" w:eastAsia="Consolas" w:cs="Consolas"/>
          <w:color w:val="243040"/>
          <w:sz w:val="16"/>
          <w:szCs w:val="16"/>
        </w:rPr>
        <w:t>prioritized &lt;- filtered %&gt;%</w:t>
      </w:r>
    </w:p>
    <w:p w14:paraId="61BA4C28">
      <w:pPr>
        <w:shd w:val="clear" w:fill="F4F5F7"/>
        <w:spacing w:before="0" w:after="0" w:line="230" w:lineRule="auto"/>
        <w:ind w:left="140" w:right="140"/>
      </w:pPr>
      <w:r>
        <w:rPr>
          <w:rFonts w:ascii="Consolas" w:hAnsi="Consolas" w:eastAsia="Consolas" w:cs="Consolas"/>
          <w:color w:val="243040"/>
          <w:sz w:val="16"/>
          <w:szCs w:val="16"/>
        </w:rPr>
        <w:t xml:space="preserve">  mutate(rank_sig = sig_rank[CLINVAR_SIG]) %&gt;%</w:t>
      </w:r>
    </w:p>
    <w:p w14:paraId="5AC00D03">
      <w:pPr>
        <w:shd w:val="clear" w:fill="F4F5F7"/>
        <w:spacing w:before="0" w:after="0" w:line="230" w:lineRule="auto"/>
        <w:ind w:left="140" w:right="140"/>
      </w:pPr>
      <w:r>
        <w:rPr>
          <w:rFonts w:ascii="Consolas" w:hAnsi="Consolas" w:eastAsia="Consolas" w:cs="Consolas"/>
          <w:color w:val="243040"/>
          <w:sz w:val="16"/>
          <w:szCs w:val="16"/>
        </w:rPr>
        <w:t xml:space="preserve">  arrange(rank_sig, AF)</w:t>
      </w:r>
    </w:p>
    <w:p w14:paraId="2B0E4EEC">
      <w:pPr>
        <w:shd w:val="clear" w:fill="F4F5F7"/>
        <w:spacing w:before="0" w:after="0" w:line="230" w:lineRule="auto"/>
        <w:ind w:left="140" w:right="140"/>
      </w:pPr>
      <w:r>
        <w:rPr>
          <w:rFonts w:ascii="Consolas" w:hAnsi="Consolas" w:eastAsia="Consolas" w:cs="Consolas"/>
          <w:color w:val="243040"/>
          <w:sz w:val="16"/>
          <w:szCs w:val="16"/>
        </w:rPr>
        <w:t xml:space="preserve"> </w:t>
      </w:r>
    </w:p>
    <w:p w14:paraId="76B88106">
      <w:pPr>
        <w:shd w:val="clear" w:fill="F4F5F7"/>
        <w:spacing w:before="0" w:after="0" w:line="230" w:lineRule="auto"/>
        <w:ind w:left="140" w:right="140"/>
      </w:pPr>
      <w:r>
        <w:rPr>
          <w:rFonts w:ascii="Consolas" w:hAnsi="Consolas" w:eastAsia="Consolas" w:cs="Consolas"/>
          <w:color w:val="243040"/>
          <w:sz w:val="16"/>
          <w:szCs w:val="16"/>
        </w:rPr>
        <w:t>print(prioritized); write_tsv(prioritized, "q4_shortlist.tsv")</w:t>
      </w:r>
    </w:p>
    <w:p w14:paraId="6DDE7F0D">
      <w:pPr>
        <w:shd w:val="clear" w:fill="F4F5F7"/>
        <w:spacing w:before="0" w:after="0" w:line="230" w:lineRule="auto"/>
        <w:ind w:left="140" w:right="140"/>
      </w:pPr>
      <w:r>
        <w:rPr>
          <w:rFonts w:ascii="Consolas" w:hAnsi="Consolas" w:eastAsia="Consolas" w:cs="Consolas"/>
          <w:color w:val="243040"/>
          <w:sz w:val="16"/>
          <w:szCs w:val="16"/>
        </w:rPr>
        <w:t xml:space="preserve"> </w:t>
      </w:r>
    </w:p>
    <w:p w14:paraId="4E0307D9">
      <w:pPr>
        <w:shd w:val="clear" w:fill="F4F5F7"/>
        <w:spacing w:before="0" w:after="0" w:line="230" w:lineRule="auto"/>
        <w:ind w:left="140" w:right="140"/>
      </w:pPr>
      <w:r>
        <w:rPr>
          <w:rFonts w:ascii="Consolas" w:hAnsi="Consolas" w:eastAsia="Consolas" w:cs="Consolas"/>
          <w:color w:val="243040"/>
          <w:sz w:val="16"/>
          <w:szCs w:val="16"/>
        </w:rPr>
        <w:t># NOTE: the shortlist is NOT the answer. CONSEQUENCE and CLINVAR_* are</w:t>
      </w:r>
    </w:p>
    <w:p w14:paraId="579EBF27">
      <w:pPr>
        <w:shd w:val="clear" w:fill="F4F5F7"/>
        <w:spacing w:before="0" w:after="0" w:line="230" w:lineRule="auto"/>
        <w:ind w:left="140" w:right="140"/>
      </w:pPr>
      <w:r>
        <w:rPr>
          <w:rFonts w:ascii="Consolas" w:hAnsi="Consolas" w:eastAsia="Consolas" w:cs="Consolas"/>
          <w:color w:val="243040"/>
          <w:sz w:val="16"/>
          <w:szCs w:val="16"/>
        </w:rPr>
        <w:t># assertions in the input file; they are re-derived from CHROM/POS/REF/ALT</w:t>
      </w:r>
    </w:p>
    <w:p w14:paraId="191C8ADF">
      <w:pPr>
        <w:shd w:val="clear" w:fill="F4F5F7"/>
        <w:spacing w:before="0" w:after="120" w:line="230" w:lineRule="auto"/>
        <w:ind w:left="140" w:right="140"/>
      </w:pPr>
      <w:r>
        <w:rPr>
          <w:rFonts w:ascii="Consolas" w:hAnsi="Consolas" w:eastAsia="Consolas" w:cs="Consolas"/>
          <w:color w:val="243040"/>
          <w:sz w:val="16"/>
          <w:szCs w:val="16"/>
        </w:rPr>
        <w:t># with Ensembl VEP on a declared build before any variant is ranked.</w:t>
      </w:r>
    </w:p>
    <w:p w14:paraId="5E190451">
      <w:pPr>
        <w:spacing w:before="60" w:after="100" w:line="276" w:lineRule="auto"/>
        <w:jc w:val="left"/>
      </w:pPr>
      <w:r>
        <w:rPr>
          <w:rFonts w:ascii="Calibri" w:hAnsi="Calibri" w:eastAsia="Calibri" w:cs="Calibri"/>
          <w:color w:val="1C2733"/>
          <w:sz w:val="21"/>
          <w:szCs w:val="21"/>
        </w:rPr>
        <w:t>R was not installed in the execution environment, so the identical logic was run as a line-by-line transcription in Python (pandas). Console output:</w:t>
      </w:r>
    </w:p>
    <w:p w14:paraId="292E74D6">
      <w:pPr>
        <w:shd w:val="clear" w:fill="F4F5F7"/>
        <w:spacing w:before="100" w:after="0" w:line="230" w:lineRule="auto"/>
        <w:ind w:left="140" w:right="140"/>
      </w:pPr>
      <w:r>
        <w:rPr>
          <w:rFonts w:ascii="Consolas" w:hAnsi="Consolas" w:eastAsia="Consolas" w:cs="Consolas"/>
          <w:color w:val="243040"/>
          <w:sz w:val="16"/>
          <w:szCs w:val="16"/>
        </w:rPr>
        <w:t>=== CASCADE ===</w:t>
      </w:r>
    </w:p>
    <w:p w14:paraId="3D7CD599">
      <w:pPr>
        <w:shd w:val="clear" w:fill="F4F5F7"/>
        <w:spacing w:before="0" w:after="0" w:line="230" w:lineRule="auto"/>
        <w:ind w:left="140" w:right="140"/>
      </w:pPr>
      <w:r>
        <w:rPr>
          <w:rFonts w:ascii="Consolas" w:hAnsi="Consolas" w:eastAsia="Consolas" w:cs="Consolas"/>
          <w:color w:val="243040"/>
          <w:sz w:val="16"/>
          <w:szCs w:val="16"/>
        </w:rPr>
        <w:t>Input table                                   n=12</w:t>
      </w:r>
    </w:p>
    <w:p w14:paraId="65ECC244">
      <w:pPr>
        <w:shd w:val="clear" w:fill="F4F5F7"/>
        <w:spacing w:before="0" w:after="0" w:line="230" w:lineRule="auto"/>
        <w:ind w:left="140" w:right="140"/>
      </w:pPr>
      <w:r>
        <w:rPr>
          <w:rFonts w:ascii="Consolas" w:hAnsi="Consolas" w:eastAsia="Consolas" w:cs="Consolas"/>
          <w:color w:val="243040"/>
          <w:sz w:val="16"/>
          <w:szCs w:val="16"/>
        </w:rPr>
        <w:t>Tier 1a FILTER==PASS                          n=10   dropped: HLA-A, MSH2</w:t>
      </w:r>
    </w:p>
    <w:p w14:paraId="679E6807">
      <w:pPr>
        <w:shd w:val="clear" w:fill="F4F5F7"/>
        <w:spacing w:before="0" w:after="0" w:line="230" w:lineRule="auto"/>
        <w:ind w:left="140" w:right="140"/>
      </w:pPr>
      <w:r>
        <w:rPr>
          <w:rFonts w:ascii="Consolas" w:hAnsi="Consolas" w:eastAsia="Consolas" w:cs="Consolas"/>
          <w:color w:val="243040"/>
          <w:sz w:val="16"/>
          <w:szCs w:val="16"/>
        </w:rPr>
        <w:t>Tier 1b DP&gt;=20 &amp; GQ&gt;=30                       n= 9   dropped: MECP2</w:t>
      </w:r>
    </w:p>
    <w:p w14:paraId="61E415A1">
      <w:pPr>
        <w:shd w:val="clear" w:fill="F4F5F7"/>
        <w:spacing w:before="0" w:after="0" w:line="230" w:lineRule="auto"/>
        <w:ind w:left="140" w:right="140"/>
      </w:pPr>
      <w:r>
        <w:rPr>
          <w:rFonts w:ascii="Consolas" w:hAnsi="Consolas" w:eastAsia="Consolas" w:cs="Consolas"/>
          <w:color w:val="243040"/>
          <w:sz w:val="16"/>
          <w:szCs w:val="16"/>
        </w:rPr>
        <w:t>Tier 2 AF&lt;=0.001                              n= 6   dropped: ., ATM, F5</w:t>
      </w:r>
    </w:p>
    <w:p w14:paraId="687FCB3A">
      <w:pPr>
        <w:shd w:val="clear" w:fill="F4F5F7"/>
        <w:spacing w:before="0" w:after="0" w:line="230" w:lineRule="auto"/>
        <w:ind w:left="140" w:right="140"/>
      </w:pPr>
      <w:r>
        <w:rPr>
          <w:rFonts w:ascii="Consolas" w:hAnsi="Consolas" w:eastAsia="Consolas" w:cs="Consolas"/>
          <w:color w:val="243040"/>
          <w:sz w:val="16"/>
          <w:szCs w:val="16"/>
        </w:rPr>
        <w:t>Tier 3 protein/splice-impacting consequence   n= 4   dropped: .(intergenic),</w:t>
      </w:r>
    </w:p>
    <w:p w14:paraId="5C7F577A">
      <w:pPr>
        <w:shd w:val="clear" w:fill="F4F5F7"/>
        <w:spacing w:before="0" w:after="0" w:line="230" w:lineRule="auto"/>
        <w:ind w:left="140" w:right="140"/>
      </w:pPr>
      <w:r>
        <w:rPr>
          <w:rFonts w:ascii="Consolas" w:hAnsi="Consolas" w:eastAsia="Consolas" w:cs="Consolas"/>
          <w:color w:val="243040"/>
          <w:sz w:val="16"/>
          <w:szCs w:val="16"/>
        </w:rPr>
        <w:t xml:space="preserve">                                                     CFTR(synonymous)</w:t>
      </w:r>
    </w:p>
    <w:p w14:paraId="4AE7AC71">
      <w:pPr>
        <w:shd w:val="clear" w:fill="F4F5F7"/>
        <w:spacing w:before="0" w:after="0" w:line="230" w:lineRule="auto"/>
        <w:ind w:left="140" w:right="140"/>
      </w:pPr>
      <w:r>
        <w:rPr>
          <w:rFonts w:ascii="Consolas" w:hAnsi="Consolas" w:eastAsia="Consolas" w:cs="Consolas"/>
          <w:color w:val="243040"/>
          <w:sz w:val="16"/>
          <w:szCs w:val="16"/>
        </w:rPr>
        <w:t xml:space="preserve"> </w:t>
      </w:r>
    </w:p>
    <w:p w14:paraId="75FB0EF9">
      <w:pPr>
        <w:shd w:val="clear" w:fill="F4F5F7"/>
        <w:spacing w:before="0" w:after="0" w:line="230" w:lineRule="auto"/>
        <w:ind w:left="140" w:right="140"/>
      </w:pPr>
      <w:r>
        <w:rPr>
          <w:rFonts w:ascii="Consolas" w:hAnsi="Consolas" w:eastAsia="Consolas" w:cs="Consolas"/>
          <w:color w:val="243040"/>
          <w:sz w:val="16"/>
          <w:szCs w:val="16"/>
        </w:rPr>
        <w:t>=== SHORTLIST ===</w:t>
      </w:r>
    </w:p>
    <w:p w14:paraId="7F44CE20">
      <w:pPr>
        <w:shd w:val="clear" w:fill="F4F5F7"/>
        <w:spacing w:before="0" w:after="0" w:line="230" w:lineRule="auto"/>
        <w:ind w:left="140" w:right="140"/>
      </w:pPr>
      <w:r>
        <w:rPr>
          <w:rFonts w:ascii="Consolas" w:hAnsi="Consolas" w:eastAsia="Consolas" w:cs="Consolas"/>
          <w:color w:val="243040"/>
          <w:sz w:val="16"/>
          <w:szCs w:val="16"/>
        </w:rPr>
        <w:t>CHROM      POS REF ALT  DP  GQ      AF  GENE  CONSEQUENCE              CLINVAR_SIG</w:t>
      </w:r>
    </w:p>
    <w:p w14:paraId="6FBA9E1E">
      <w:pPr>
        <w:shd w:val="clear" w:fill="F4F5F7"/>
        <w:spacing w:before="0" w:after="0" w:line="230" w:lineRule="auto"/>
        <w:ind w:left="140" w:right="140"/>
      </w:pPr>
      <w:r>
        <w:rPr>
          <w:rFonts w:ascii="Consolas" w:hAnsi="Consolas" w:eastAsia="Consolas" w:cs="Consolas"/>
          <w:color w:val="243040"/>
          <w:sz w:val="16"/>
          <w:szCs w:val="16"/>
        </w:rPr>
        <w:t>chr17  7673803   G   A  80  99 0.00001  TP53  splice_acceptor_variant  Pathogenic</w:t>
      </w:r>
    </w:p>
    <w:p w14:paraId="2D03641A">
      <w:pPr>
        <w:shd w:val="clear" w:fill="F4F5F7"/>
        <w:spacing w:before="0" w:after="0" w:line="230" w:lineRule="auto"/>
        <w:ind w:left="140" w:right="140"/>
      </w:pPr>
      <w:r>
        <w:rPr>
          <w:rFonts w:ascii="Consolas" w:hAnsi="Consolas" w:eastAsia="Consolas" w:cs="Consolas"/>
          <w:color w:val="243040"/>
          <w:sz w:val="16"/>
          <w:szCs w:val="16"/>
        </w:rPr>
        <w:t>chr12 25398284   C   A  58  91 0.00015  KRAS  missense_variant         Conflicting</w:t>
      </w:r>
    </w:p>
    <w:p w14:paraId="0D01CA8A">
      <w:pPr>
        <w:shd w:val="clear" w:fill="F4F5F7"/>
        <w:spacing w:before="0" w:after="0" w:line="230" w:lineRule="auto"/>
        <w:ind w:left="140" w:right="140"/>
      </w:pPr>
      <w:r>
        <w:rPr>
          <w:rFonts w:ascii="Consolas" w:hAnsi="Consolas" w:eastAsia="Consolas" w:cs="Consolas"/>
          <w:color w:val="243040"/>
          <w:sz w:val="16"/>
          <w:szCs w:val="16"/>
        </w:rPr>
        <w:t>chr13 32316461   C   T  60  90 0.00010 BRCA2  missense_variant         Uncertain</w:t>
      </w:r>
    </w:p>
    <w:p w14:paraId="3FAE5B77">
      <w:pPr>
        <w:shd w:val="clear" w:fill="F4F5F7"/>
        <w:spacing w:before="0" w:after="0" w:line="230" w:lineRule="auto"/>
        <w:ind w:left="140" w:right="140"/>
      </w:pPr>
      <w:r>
        <w:rPr>
          <w:rFonts w:ascii="Consolas" w:hAnsi="Consolas" w:eastAsia="Consolas" w:cs="Consolas"/>
          <w:color w:val="243040"/>
          <w:sz w:val="16"/>
          <w:szCs w:val="16"/>
        </w:rPr>
        <w:t>chr19 11200200   C   T  40  88 0.00020  LDLR  missense_variant         Likely_benign</w:t>
      </w:r>
    </w:p>
    <w:p w14:paraId="2198DB16">
      <w:pPr>
        <w:shd w:val="clear" w:fill="F4F5F7"/>
        <w:spacing w:before="0" w:after="0" w:line="230" w:lineRule="auto"/>
        <w:ind w:left="140" w:right="140"/>
      </w:pPr>
      <w:r>
        <w:rPr>
          <w:rFonts w:ascii="Consolas" w:hAnsi="Consolas" w:eastAsia="Consolas" w:cs="Consolas"/>
          <w:color w:val="243040"/>
          <w:sz w:val="16"/>
          <w:szCs w:val="16"/>
        </w:rPr>
        <w:t xml:space="preserve"> </w:t>
      </w:r>
    </w:p>
    <w:p w14:paraId="5643476E">
      <w:pPr>
        <w:shd w:val="clear" w:fill="F4F5F7"/>
        <w:spacing w:before="0" w:after="0" w:line="230" w:lineRule="auto"/>
        <w:ind w:left="140" w:right="140"/>
      </w:pPr>
      <w:r>
        <w:rPr>
          <w:rFonts w:ascii="Consolas" w:hAnsi="Consolas" w:eastAsia="Consolas" w:cs="Consolas"/>
          <w:color w:val="243040"/>
          <w:sz w:val="16"/>
          <w:szCs w:val="16"/>
        </w:rPr>
        <w:t>=== EXCLUDED, WITH REASON ===</w:t>
      </w:r>
    </w:p>
    <w:p w14:paraId="29ACE440">
      <w:pPr>
        <w:shd w:val="clear" w:fill="F4F5F7"/>
        <w:spacing w:before="0" w:after="0" w:line="230" w:lineRule="auto"/>
        <w:ind w:left="140" w:right="140"/>
      </w:pPr>
      <w:r>
        <w:rPr>
          <w:rFonts w:ascii="Consolas" w:hAnsi="Consolas" w:eastAsia="Consolas" w:cs="Consolas"/>
          <w:color w:val="243040"/>
          <w:sz w:val="16"/>
          <w:szCs w:val="16"/>
        </w:rPr>
        <w:t>F5      chr1:169519049    AF=0.42</w:t>
      </w:r>
    </w:p>
    <w:p w14:paraId="43963692">
      <w:pPr>
        <w:shd w:val="clear" w:fill="F4F5F7"/>
        <w:spacing w:before="0" w:after="0" w:line="230" w:lineRule="auto"/>
        <w:ind w:left="140" w:right="140"/>
      </w:pPr>
      <w:r>
        <w:rPr>
          <w:rFonts w:ascii="Consolas" w:hAnsi="Consolas" w:eastAsia="Consolas" w:cs="Consolas"/>
          <w:color w:val="243040"/>
          <w:sz w:val="16"/>
          <w:szCs w:val="16"/>
        </w:rPr>
        <w:t>CFTR    chr7:117199644    consequence=synonymous_variant</w:t>
      </w:r>
    </w:p>
    <w:p w14:paraId="4FD9B4ED">
      <w:pPr>
        <w:shd w:val="clear" w:fill="F4F5F7"/>
        <w:spacing w:before="0" w:after="0" w:line="230" w:lineRule="auto"/>
        <w:ind w:left="140" w:right="140"/>
      </w:pPr>
      <w:r>
        <w:rPr>
          <w:rFonts w:ascii="Consolas" w:hAnsi="Consolas" w:eastAsia="Consolas" w:cs="Consolas"/>
          <w:color w:val="243040"/>
          <w:sz w:val="16"/>
          <w:szCs w:val="16"/>
        </w:rPr>
        <w:t>MSH2    chr2:47641560     FILTER=LowQual; DP=8; GQ=12</w:t>
      </w:r>
    </w:p>
    <w:p w14:paraId="74E71E00">
      <w:pPr>
        <w:shd w:val="clear" w:fill="F4F5F7"/>
        <w:spacing w:before="0" w:after="0" w:line="230" w:lineRule="auto"/>
        <w:ind w:left="140" w:right="140"/>
      </w:pPr>
      <w:r>
        <w:rPr>
          <w:rFonts w:ascii="Consolas" w:hAnsi="Consolas" w:eastAsia="Consolas" w:cs="Consolas"/>
          <w:color w:val="243040"/>
          <w:sz w:val="16"/>
          <w:szCs w:val="16"/>
        </w:rPr>
        <w:t>HLA-A   chr6:29942857     FILTER=FAIL</w:t>
      </w:r>
    </w:p>
    <w:p w14:paraId="62695BED">
      <w:pPr>
        <w:shd w:val="clear" w:fill="F4F5F7"/>
        <w:spacing w:before="0" w:after="0" w:line="230" w:lineRule="auto"/>
        <w:ind w:left="140" w:right="140"/>
      </w:pPr>
      <w:r>
        <w:rPr>
          <w:rFonts w:ascii="Consolas" w:hAnsi="Consolas" w:eastAsia="Consolas" w:cs="Consolas"/>
          <w:color w:val="243040"/>
          <w:sz w:val="16"/>
          <w:szCs w:val="16"/>
        </w:rPr>
        <w:t>.       chr8:128750000    consequence=intergenic_variant</w:t>
      </w:r>
    </w:p>
    <w:p w14:paraId="35A73AEC">
      <w:pPr>
        <w:shd w:val="clear" w:fill="F4F5F7"/>
        <w:spacing w:before="0" w:after="0" w:line="230" w:lineRule="auto"/>
        <w:ind w:left="140" w:right="140"/>
      </w:pPr>
      <w:r>
        <w:rPr>
          <w:rFonts w:ascii="Consolas" w:hAnsi="Consolas" w:eastAsia="Consolas" w:cs="Consolas"/>
          <w:color w:val="243040"/>
          <w:sz w:val="16"/>
          <w:szCs w:val="16"/>
        </w:rPr>
        <w:t>ATM     chr11:108323000   AF=0.18</w:t>
      </w:r>
    </w:p>
    <w:p w14:paraId="22EF6AB6">
      <w:pPr>
        <w:shd w:val="clear" w:fill="F4F5F7"/>
        <w:spacing w:before="0" w:after="0" w:line="230" w:lineRule="auto"/>
        <w:ind w:left="140" w:right="140"/>
      </w:pPr>
      <w:r>
        <w:rPr>
          <w:rFonts w:ascii="Consolas" w:hAnsi="Consolas" w:eastAsia="Consolas" w:cs="Consolas"/>
          <w:color w:val="243040"/>
          <w:sz w:val="16"/>
          <w:szCs w:val="16"/>
        </w:rPr>
        <w:t>MECP2   chrX:153870000    DP=5; GQ=20</w:t>
      </w:r>
    </w:p>
    <w:p w14:paraId="28556C7D">
      <w:pPr>
        <w:shd w:val="clear" w:fill="F4F5F7"/>
        <w:spacing w:before="0" w:after="120" w:line="230" w:lineRule="auto"/>
        <w:ind w:left="140" w:right="140"/>
      </w:pPr>
      <w:r>
        <w:rPr>
          <w:rFonts w:ascii="Consolas" w:hAnsi="Consolas" w:eastAsia="Consolas" w:cs="Consolas"/>
          <w:color w:val="243040"/>
          <w:sz w:val="16"/>
          <w:szCs w:val="16"/>
        </w:rPr>
        <w:t>.       chr4:88000000     AF=0.35; consequence=intron_variant</w:t>
      </w:r>
    </w:p>
    <w:p w14:paraId="156FAFEC">
      <w:pPr>
        <w:spacing w:before="20" w:after="20" w:line="240" w:lineRule="auto"/>
        <w:ind w:left="340" w:hanging="340"/>
      </w:pPr>
    </w:p>
    <w:sectPr>
      <w:pgSz w:w="12240" w:h="15840"/>
      <w:pgMar w:top="1008" w:right="1008" w:bottom="1008" w:left="100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useFELayout/>
    <w:compatSetting w:name="compatibilityMode" w:uri="http://schemas.microsoft.com/office/word" w:val="15"/>
  </w:compat>
  <w:rsids>
    <w:rsidRoot w:val="00000000"/>
    <w:rsid w:val="125C5BA4"/>
    <w:rsid w:val="326940A5"/>
    <w:rsid w:val="7FE75A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color w:val="1C2733"/>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Calibri" w:hAnsi="Calibri" w:eastAsia="Calibri" w:cs="Calibri"/>
      <w:color w:val="1C2733"/>
      <w:sz w:val="20"/>
      <w:szCs w:val="20"/>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link w:val="18"/>
    <w:semiHidden/>
    <w:unhideWhenUsed/>
    <w:qFormat/>
    <w:uiPriority w:val="99"/>
    <w:pPr>
      <w:spacing w:after="0" w:line="240" w:lineRule="auto"/>
    </w:pPr>
    <w:rPr>
      <w:rFonts w:ascii="Calibri" w:hAnsi="Calibri" w:eastAsia="Calibri" w:cs="Calibri"/>
      <w:color w:val="1C2733"/>
      <w:sz w:val="20"/>
      <w:szCs w:val="20"/>
    </w:rPr>
  </w:style>
  <w:style w:type="paragraph" w:styleId="11">
    <w:name w:val="Title"/>
    <w:qFormat/>
    <w:uiPriority w:val="0"/>
    <w:rPr>
      <w:rFonts w:ascii="Calibri" w:hAnsi="Calibri" w:eastAsia="Calibri" w:cs="Calibri"/>
      <w:color w:val="1C2733"/>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Calibri" w:hAnsi="Calibri" w:eastAsia="Calibri" w:cs="Calibri"/>
      <w:color w:val="1C2733"/>
      <w:sz w:val="21"/>
      <w:szCs w:val="21"/>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1716</Words>
  <Characters>9391</Characters>
  <TotalTime>47</TotalTime>
  <ScaleCrop>false</ScaleCrop>
  <LinksUpToDate>false</LinksUpToDate>
  <CharactersWithSpaces>11062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2026-09-16T11:33:00Z</dcterms:created>
  <dc:creator>He Yujie</dc:creator>
  <cp:lastModifiedBy>贺羽婕</cp:lastModifiedBy>
  <dcterms:modified xsi:type="dcterms:W3CDTF">2026-09-16T12:24:13Z</dcterms:modified>
  <dc:title>Week 4 Homework — Genomics, Variant Interpretation and AI-Assisted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eyJoZGlkIjoiNTU0ZmIwYTQ3NzlmZGUxZmU3Zjk0M2IyZTNmM2IxNjAiLCJ1c2VySWQiOiIxNzE5OTAwNjk3In0=</vt:lpwstr>
  </property>
  <property fmtid="{D5CDD505-2E9C-101B-9397-08002B2CF9AE}" pid="3" name="KSOProductBuildVer">
    <vt:lpwstr>2052-12.1.0.28043</vt:lpwstr>
  </property>
  <property fmtid="{D5CDD505-2E9C-101B-9397-08002B2CF9AE}" pid="4" name="ICV">
    <vt:lpwstr>CCB4549CD84F4F8CABD613B192F01ED6_12</vt:lpwstr>
  </property>
</Properties>
</file>