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sx335g3k3va" w:id="0"/>
      <w:bookmarkEnd w:id="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Settimane 1–2 (base)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Pelle-pelle, allattamento a richiesta e tanto sonno frammentato sono la norma. Offri micro tummy time quotidiano e segui i segnali di fame/sazietà. Le tue parole e il contatto sono lo stimolo principale.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ifhrqxx4wt9e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Settimane 3–4 (base)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Arriva il sorriso di risposta e compaiono i primi vocalizzi. Crea una routine serale dolce e coerente. Niente schermi: la tua voce guida l’attenzione.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h0iowcapcre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Settimane 5–6 (base)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Aumenta il controllo del capo in prono e l’interesse per i contrasti. Allunga un po’ il tummy time e descrivi ciò che osserva. Mantieni brevi veglie seguite da recupero.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s455onyyc6v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Settimane 7–8 (base)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Segue oggetti in modo più fluido e vocalizza con varietà. Alterna gioco a terra e pause dal contenimento (mai oltre 60 minuti di fila). Canta e ripeti piccoli rituali.</w:t>
      </w:r>
    </w:p>
    <w:p w:rsidR="00000000" w:rsidDel="00000000" w:rsidP="00000000" w:rsidRDefault="00000000" w:rsidRPr="00000000" w14:paraId="0000000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t38txa5yyaa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Estensione “Premium” (bozza) — Settimane 9–12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Settimana 9–10.</w:t>
      </w:r>
      <w:r w:rsidDel="00000000" w:rsidR="00000000" w:rsidRPr="00000000">
        <w:rPr>
          <w:rtl w:val="0"/>
        </w:rPr>
        <w:t xml:space="preserve"> Più tenuta del capo e primi tentativi di afferrare: proponi oggetti leggeri, textures diverse e finestre di veglia 60–90 minuti.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Settimana 11.</w:t>
      </w:r>
      <w:r w:rsidDel="00000000" w:rsidR="00000000" w:rsidRPr="00000000">
        <w:rPr>
          <w:rtl w:val="0"/>
        </w:rPr>
        <w:t xml:space="preserve"> Inizia a riconoscere routine previste: anticipa con parole e gesti (es. “cambio, latte, nanna”).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Settimana 12.</w:t>
      </w:r>
      <w:r w:rsidDel="00000000" w:rsidR="00000000" w:rsidRPr="00000000">
        <w:rPr>
          <w:rtl w:val="0"/>
        </w:rPr>
        <w:t xml:space="preserve"> Sorrisi e vocalizzi diventano dialogo: aspetta il suo turno, rispondi e nomina emozioni e azioni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