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AAFA" w14:textId="77777777" w:rsidR="00151AFC" w:rsidRDefault="00000000">
      <w:pPr>
        <w:jc w:val="center"/>
      </w:pPr>
      <w:r>
        <w:rPr>
          <w:b/>
          <w:color w:val="2F6FA5"/>
          <w:sz w:val="26"/>
        </w:rPr>
        <w:t>WELLMATIX</w:t>
      </w:r>
    </w:p>
    <w:p w14:paraId="0D7D1D27" w14:textId="77777777" w:rsidR="00151AFC" w:rsidRDefault="00000000">
      <w:pPr>
        <w:pStyle w:val="Title"/>
        <w:jc w:val="center"/>
      </w:pPr>
      <w:r>
        <w:t>MSLN Target-Specific Binder Algorithm</w:t>
      </w:r>
      <w:r>
        <w:br/>
        <w:t>Literature Benchmark Validation</w:t>
      </w:r>
    </w:p>
    <w:p w14:paraId="62172DE6" w14:textId="77777777" w:rsidR="00151AFC" w:rsidRDefault="00000000">
      <w:pPr>
        <w:pStyle w:val="Heading1"/>
      </w:pPr>
      <w:r>
        <w:t>1. Objective</w:t>
      </w:r>
    </w:p>
    <w:p w14:paraId="2E48CE70" w14:textId="77777777" w:rsidR="00151AFC" w:rsidRDefault="00000000">
      <w:r>
        <w:t>Validate the target-specific binder algorithm using MSLN, a CAR-T-relevant surface antigen with multiple literature-characterized binders. The benchmark must test whether the platform can independently recover known binders, verify that they truly match MSLN, preserve sequence provenance, differentiate affinity from CAR suitability, and produce a transparent ranking.</w:t>
      </w:r>
    </w:p>
    <w:p w14:paraId="3A245828" w14:textId="77777777" w:rsidR="00151AFC" w:rsidRDefault="00000000">
      <w:r>
        <w:rPr>
          <w:b/>
        </w:rPr>
        <w:t xml:space="preserve">Critical rule: </w:t>
      </w:r>
      <w:r>
        <w:t>do not feed the literature benchmark values or expected ranking into the algorithm before the blind run. They are held-out validation answers.</w:t>
      </w:r>
    </w:p>
    <w:p w14:paraId="1F56DC96" w14:textId="77777777" w:rsidR="00151AFC" w:rsidRDefault="00000000">
      <w:pPr>
        <w:pStyle w:val="Heading1"/>
      </w:pPr>
      <w:r>
        <w:t>2. Literature benchmark panel</w:t>
      </w:r>
    </w:p>
    <w:tbl>
      <w:tblPr>
        <w:tblStyle w:val="TableGrid"/>
        <w:tblW w:w="0" w:type="auto"/>
        <w:jc w:val="center"/>
        <w:tblLook w:val="04A0" w:firstRow="1" w:lastRow="0" w:firstColumn="1" w:lastColumn="0" w:noHBand="0" w:noVBand="1"/>
      </w:tblPr>
      <w:tblGrid>
        <w:gridCol w:w="2539"/>
        <w:gridCol w:w="2539"/>
        <w:gridCol w:w="2539"/>
        <w:gridCol w:w="2539"/>
      </w:tblGrid>
      <w:tr w:rsidR="00151AFC" w14:paraId="7A6F3AB3" w14:textId="77777777">
        <w:trPr>
          <w:jc w:val="center"/>
        </w:trPr>
        <w:tc>
          <w:tcPr>
            <w:tcW w:w="2541" w:type="dxa"/>
            <w:shd w:val="clear" w:color="auto" w:fill="17365D"/>
            <w:vAlign w:val="center"/>
          </w:tcPr>
          <w:p w14:paraId="6259291A" w14:textId="77777777" w:rsidR="00151AFC" w:rsidRDefault="00000000">
            <w:r>
              <w:rPr>
                <w:b/>
                <w:color w:val="FFFFFF"/>
                <w:sz w:val="16"/>
              </w:rPr>
              <w:t>Binder</w:t>
            </w:r>
          </w:p>
        </w:tc>
        <w:tc>
          <w:tcPr>
            <w:tcW w:w="2541" w:type="dxa"/>
            <w:shd w:val="clear" w:color="auto" w:fill="17365D"/>
            <w:vAlign w:val="center"/>
          </w:tcPr>
          <w:p w14:paraId="118AB6A5" w14:textId="77777777" w:rsidR="00151AFC" w:rsidRDefault="00000000">
            <w:r>
              <w:rPr>
                <w:b/>
                <w:color w:val="FFFFFF"/>
                <w:sz w:val="16"/>
              </w:rPr>
              <w:t>Target</w:t>
            </w:r>
          </w:p>
        </w:tc>
        <w:tc>
          <w:tcPr>
            <w:tcW w:w="2541" w:type="dxa"/>
            <w:shd w:val="clear" w:color="auto" w:fill="17365D"/>
            <w:vAlign w:val="center"/>
          </w:tcPr>
          <w:p w14:paraId="118D9682" w14:textId="77777777" w:rsidR="00151AFC" w:rsidRDefault="00000000">
            <w:r>
              <w:rPr>
                <w:b/>
                <w:color w:val="FFFFFF"/>
                <w:sz w:val="16"/>
              </w:rPr>
              <w:t>Benchmark information</w:t>
            </w:r>
          </w:p>
        </w:tc>
        <w:tc>
          <w:tcPr>
            <w:tcW w:w="2541" w:type="dxa"/>
            <w:shd w:val="clear" w:color="auto" w:fill="17365D"/>
            <w:vAlign w:val="center"/>
          </w:tcPr>
          <w:p w14:paraId="7FD3C666" w14:textId="77777777" w:rsidR="00151AFC" w:rsidRDefault="00000000">
            <w:r>
              <w:rPr>
                <w:b/>
                <w:color w:val="FFFFFF"/>
                <w:sz w:val="16"/>
              </w:rPr>
              <w:t>Why it is useful</w:t>
            </w:r>
          </w:p>
        </w:tc>
      </w:tr>
      <w:tr w:rsidR="00151AFC" w14:paraId="400FC260" w14:textId="77777777">
        <w:trPr>
          <w:jc w:val="center"/>
        </w:trPr>
        <w:tc>
          <w:tcPr>
            <w:tcW w:w="2541" w:type="dxa"/>
            <w:vAlign w:val="center"/>
          </w:tcPr>
          <w:p w14:paraId="182BEAC7" w14:textId="77777777" w:rsidR="00151AFC" w:rsidRDefault="00000000">
            <w:r>
              <w:rPr>
                <w:sz w:val="16"/>
              </w:rPr>
              <w:t>SS1</w:t>
            </w:r>
          </w:p>
        </w:tc>
        <w:tc>
          <w:tcPr>
            <w:tcW w:w="2541" w:type="dxa"/>
            <w:vAlign w:val="center"/>
          </w:tcPr>
          <w:p w14:paraId="67DA909C" w14:textId="77777777" w:rsidR="00151AFC" w:rsidRDefault="00000000">
            <w:r>
              <w:rPr>
                <w:sz w:val="16"/>
              </w:rPr>
              <w:t>MSLN</w:t>
            </w:r>
          </w:p>
        </w:tc>
        <w:tc>
          <w:tcPr>
            <w:tcW w:w="2541" w:type="dxa"/>
            <w:vAlign w:val="center"/>
          </w:tcPr>
          <w:p w14:paraId="46EA92FA" w14:textId="77777777" w:rsidR="00151AFC" w:rsidRDefault="00000000">
            <w:r>
              <w:rPr>
                <w:sz w:val="16"/>
              </w:rPr>
              <w:t>Literature-characterized high-affinity MSLN binder; reported KD varies by assay/format.</w:t>
            </w:r>
          </w:p>
        </w:tc>
        <w:tc>
          <w:tcPr>
            <w:tcW w:w="2541" w:type="dxa"/>
            <w:vAlign w:val="center"/>
          </w:tcPr>
          <w:p w14:paraId="301566A6" w14:textId="77777777" w:rsidR="00151AFC" w:rsidRDefault="00000000">
            <w:r>
              <w:rPr>
                <w:sz w:val="16"/>
              </w:rPr>
              <w:t>Positive-control strong binder and retrieval benchmark.</w:t>
            </w:r>
          </w:p>
        </w:tc>
      </w:tr>
      <w:tr w:rsidR="00151AFC" w14:paraId="6A574B76" w14:textId="77777777">
        <w:trPr>
          <w:jc w:val="center"/>
        </w:trPr>
        <w:tc>
          <w:tcPr>
            <w:tcW w:w="2541" w:type="dxa"/>
            <w:shd w:val="clear" w:color="auto" w:fill="F4F7FA"/>
            <w:vAlign w:val="center"/>
          </w:tcPr>
          <w:p w14:paraId="37A0AF12" w14:textId="77777777" w:rsidR="00151AFC" w:rsidRDefault="00000000">
            <w:r>
              <w:rPr>
                <w:sz w:val="16"/>
              </w:rPr>
              <w:t>M5</w:t>
            </w:r>
          </w:p>
        </w:tc>
        <w:tc>
          <w:tcPr>
            <w:tcW w:w="2541" w:type="dxa"/>
            <w:shd w:val="clear" w:color="auto" w:fill="F4F7FA"/>
            <w:vAlign w:val="center"/>
          </w:tcPr>
          <w:p w14:paraId="2A692958" w14:textId="77777777" w:rsidR="00151AFC" w:rsidRDefault="00000000">
            <w:r>
              <w:rPr>
                <w:sz w:val="16"/>
              </w:rPr>
              <w:t>MSLN</w:t>
            </w:r>
          </w:p>
        </w:tc>
        <w:tc>
          <w:tcPr>
            <w:tcW w:w="2541" w:type="dxa"/>
            <w:shd w:val="clear" w:color="auto" w:fill="F4F7FA"/>
            <w:vAlign w:val="center"/>
          </w:tcPr>
          <w:p w14:paraId="1F63ECB6" w14:textId="77777777" w:rsidR="00151AFC" w:rsidRDefault="00000000">
            <w:r>
              <w:rPr>
                <w:sz w:val="16"/>
              </w:rPr>
              <w:t>Reported at ~26.9 nM in one SPR comparison.</w:t>
            </w:r>
          </w:p>
        </w:tc>
        <w:tc>
          <w:tcPr>
            <w:tcW w:w="2541" w:type="dxa"/>
            <w:shd w:val="clear" w:color="auto" w:fill="F4F7FA"/>
            <w:vAlign w:val="center"/>
          </w:tcPr>
          <w:p w14:paraId="577CD07E" w14:textId="77777777" w:rsidR="00151AFC" w:rsidRDefault="00000000">
            <w:r>
              <w:rPr>
                <w:sz w:val="16"/>
              </w:rPr>
              <w:t>Intermediate-affinity comparator.</w:t>
            </w:r>
          </w:p>
        </w:tc>
      </w:tr>
      <w:tr w:rsidR="00151AFC" w14:paraId="1C9DBB8B" w14:textId="77777777">
        <w:trPr>
          <w:jc w:val="center"/>
        </w:trPr>
        <w:tc>
          <w:tcPr>
            <w:tcW w:w="2541" w:type="dxa"/>
            <w:vAlign w:val="center"/>
          </w:tcPr>
          <w:p w14:paraId="31F6D7F8" w14:textId="77777777" w:rsidR="00151AFC" w:rsidRDefault="00000000">
            <w:r>
              <w:rPr>
                <w:sz w:val="16"/>
              </w:rPr>
              <w:t>M11</w:t>
            </w:r>
          </w:p>
        </w:tc>
        <w:tc>
          <w:tcPr>
            <w:tcW w:w="2541" w:type="dxa"/>
            <w:vAlign w:val="center"/>
          </w:tcPr>
          <w:p w14:paraId="65C8005C" w14:textId="77777777" w:rsidR="00151AFC" w:rsidRDefault="00000000">
            <w:r>
              <w:rPr>
                <w:sz w:val="16"/>
              </w:rPr>
              <w:t>MSLN</w:t>
            </w:r>
          </w:p>
        </w:tc>
        <w:tc>
          <w:tcPr>
            <w:tcW w:w="2541" w:type="dxa"/>
            <w:vAlign w:val="center"/>
          </w:tcPr>
          <w:p w14:paraId="44C2BD43" w14:textId="77777777" w:rsidR="00151AFC" w:rsidRDefault="00000000">
            <w:r>
              <w:rPr>
                <w:sz w:val="16"/>
              </w:rPr>
              <w:t>Reported at ~64.7 nM in the same comparison.</w:t>
            </w:r>
          </w:p>
        </w:tc>
        <w:tc>
          <w:tcPr>
            <w:tcW w:w="2541" w:type="dxa"/>
            <w:vAlign w:val="center"/>
          </w:tcPr>
          <w:p w14:paraId="7DE38622" w14:textId="77777777" w:rsidR="00151AFC" w:rsidRDefault="00000000">
            <w:r>
              <w:rPr>
                <w:sz w:val="16"/>
              </w:rPr>
              <w:t>Lower-affinity comparator.</w:t>
            </w:r>
          </w:p>
        </w:tc>
      </w:tr>
      <w:tr w:rsidR="00151AFC" w14:paraId="2908A338" w14:textId="77777777">
        <w:trPr>
          <w:jc w:val="center"/>
        </w:trPr>
        <w:tc>
          <w:tcPr>
            <w:tcW w:w="2541" w:type="dxa"/>
            <w:shd w:val="clear" w:color="auto" w:fill="F4F7FA"/>
            <w:vAlign w:val="center"/>
          </w:tcPr>
          <w:p w14:paraId="6A307A44" w14:textId="77777777" w:rsidR="00151AFC" w:rsidRDefault="00000000">
            <w:r>
              <w:rPr>
                <w:sz w:val="16"/>
              </w:rPr>
              <w:t>15B6 / h15B6</w:t>
            </w:r>
          </w:p>
        </w:tc>
        <w:tc>
          <w:tcPr>
            <w:tcW w:w="2541" w:type="dxa"/>
            <w:shd w:val="clear" w:color="auto" w:fill="F4F7FA"/>
            <w:vAlign w:val="center"/>
          </w:tcPr>
          <w:p w14:paraId="60CF7A70" w14:textId="77777777" w:rsidR="00151AFC" w:rsidRDefault="00000000">
            <w:r>
              <w:rPr>
                <w:sz w:val="16"/>
              </w:rPr>
              <w:t>MSLN</w:t>
            </w:r>
          </w:p>
        </w:tc>
        <w:tc>
          <w:tcPr>
            <w:tcW w:w="2541" w:type="dxa"/>
            <w:shd w:val="clear" w:color="auto" w:fill="F4F7FA"/>
            <w:vAlign w:val="center"/>
          </w:tcPr>
          <w:p w14:paraId="1298FE92" w14:textId="77777777" w:rsidR="00151AFC" w:rsidRDefault="00000000">
            <w:r>
              <w:rPr>
                <w:sz w:val="16"/>
              </w:rPr>
              <w:t>Membrane-proximal / juxtamembrane MSLN binder; used to examine shed-MSLN interference and CAR-context epitope choice.</w:t>
            </w:r>
          </w:p>
        </w:tc>
        <w:tc>
          <w:tcPr>
            <w:tcW w:w="2541" w:type="dxa"/>
            <w:shd w:val="clear" w:color="auto" w:fill="F4F7FA"/>
            <w:vAlign w:val="center"/>
          </w:tcPr>
          <w:p w14:paraId="126ADF63" w14:textId="77777777" w:rsidR="00151AFC" w:rsidRDefault="00000000">
            <w:r>
              <w:rPr>
                <w:sz w:val="16"/>
              </w:rPr>
              <w:t>Tests whether the algorithm considers epitope location and CAR suitability, not affinity alone.</w:t>
            </w:r>
          </w:p>
        </w:tc>
      </w:tr>
    </w:tbl>
    <w:p w14:paraId="4B6A7568" w14:textId="77777777" w:rsidR="00151AFC" w:rsidRDefault="00000000">
      <w:r>
        <w:t>Important: exact KD values are assay- and construct-dependent. Store the source, assay format and construct format with every benchmark value. Do not treat a single literature KD as universal ground truth.</w:t>
      </w:r>
    </w:p>
    <w:p w14:paraId="4E26FD5C" w14:textId="77777777" w:rsidR="00151AFC" w:rsidRDefault="00000000">
      <w:pPr>
        <w:pStyle w:val="Heading1"/>
      </w:pPr>
      <w:r>
        <w:t>3. Blind validation input</w:t>
      </w:r>
    </w:p>
    <w:p w14:paraId="48D27F73" w14:textId="77777777" w:rsidR="00151AFC" w:rsidRDefault="00000000">
      <w:r>
        <w:t>The first run should receive only the target/application information below.</w:t>
      </w:r>
    </w:p>
    <w:tbl>
      <w:tblPr>
        <w:tblStyle w:val="TableGrid"/>
        <w:tblW w:w="0" w:type="auto"/>
        <w:tblLook w:val="04A0" w:firstRow="1" w:lastRow="0" w:firstColumn="1" w:lastColumn="0" w:noHBand="0" w:noVBand="1"/>
      </w:tblPr>
      <w:tblGrid>
        <w:gridCol w:w="10156"/>
      </w:tblGrid>
      <w:tr w:rsidR="00151AFC" w14:paraId="40A6692D" w14:textId="77777777">
        <w:tc>
          <w:tcPr>
            <w:tcW w:w="10166" w:type="dxa"/>
            <w:shd w:val="clear" w:color="auto" w:fill="F2F4F7"/>
          </w:tcPr>
          <w:p w14:paraId="4E702E20" w14:textId="77777777" w:rsidR="00151AFC" w:rsidRDefault="00000000">
            <w:r>
              <w:rPr>
                <w:rFonts w:ascii="Consolas" w:hAnsi="Consolas"/>
                <w:sz w:val="16"/>
              </w:rPr>
              <w:t>{</w:t>
            </w:r>
            <w:r>
              <w:rPr>
                <w:rFonts w:ascii="Consolas" w:hAnsi="Consolas"/>
                <w:sz w:val="16"/>
              </w:rPr>
              <w:br/>
              <w:t xml:space="preserve">  "target": "MSLN",</w:t>
            </w:r>
            <w:r>
              <w:rPr>
                <w:rFonts w:ascii="Consolas" w:hAnsi="Consolas"/>
                <w:sz w:val="16"/>
              </w:rPr>
              <w:br/>
              <w:t xml:space="preserve">  "application": "CAR-T",</w:t>
            </w:r>
            <w:r>
              <w:rPr>
                <w:rFonts w:ascii="Consolas" w:hAnsi="Consolas"/>
                <w:sz w:val="16"/>
              </w:rPr>
              <w:br/>
              <w:t xml:space="preserve">  "binder_mode": "RETRIEVAL_FIRST",</w:t>
            </w:r>
            <w:r>
              <w:rPr>
                <w:rFonts w:ascii="Consolas" w:hAnsi="Consolas"/>
                <w:sz w:val="16"/>
              </w:rPr>
              <w:br/>
              <w:t xml:space="preserve">  "compute": "CPU",</w:t>
            </w:r>
            <w:r>
              <w:rPr>
                <w:rFonts w:ascii="Consolas" w:hAnsi="Consolas"/>
                <w:sz w:val="16"/>
              </w:rPr>
              <w:br/>
              <w:t xml:space="preserve">  "max_binders": 20,</w:t>
            </w:r>
            <w:r>
              <w:rPr>
                <w:rFonts w:ascii="Consolas" w:hAnsi="Consolas"/>
                <w:sz w:val="16"/>
              </w:rPr>
              <w:br/>
              <w:t xml:space="preserve">  "blind_benchmark": true</w:t>
            </w:r>
            <w:r>
              <w:rPr>
                <w:rFonts w:ascii="Consolas" w:hAnsi="Consolas"/>
                <w:sz w:val="16"/>
              </w:rPr>
              <w:br/>
              <w:t>}</w:t>
            </w:r>
          </w:p>
        </w:tc>
      </w:tr>
    </w:tbl>
    <w:p w14:paraId="4B1DBE3C" w14:textId="77777777" w:rsidR="00151AFC" w:rsidRDefault="00000000">
      <w:r>
        <w:t>Do not provide SS1, M5, M11, 15B6/h15B6, their affinity values, or the expected CAR-suitability interpretation as ranking inputs.</w:t>
      </w:r>
    </w:p>
    <w:p w14:paraId="4F17EA4C" w14:textId="77777777" w:rsidR="00151AFC" w:rsidRDefault="00000000">
      <w:pPr>
        <w:pStyle w:val="Heading1"/>
      </w:pPr>
      <w:r>
        <w:t>4. Required algorithm workflow</w:t>
      </w:r>
    </w:p>
    <w:tbl>
      <w:tblPr>
        <w:tblStyle w:val="TableGrid"/>
        <w:tblW w:w="0" w:type="auto"/>
        <w:jc w:val="center"/>
        <w:tblLook w:val="04A0" w:firstRow="1" w:lastRow="0" w:firstColumn="1" w:lastColumn="0" w:noHBand="0" w:noVBand="1"/>
      </w:tblPr>
      <w:tblGrid>
        <w:gridCol w:w="2391"/>
        <w:gridCol w:w="2470"/>
        <w:gridCol w:w="2822"/>
        <w:gridCol w:w="2473"/>
      </w:tblGrid>
      <w:tr w:rsidR="00151AFC" w14:paraId="70840418" w14:textId="77777777">
        <w:trPr>
          <w:jc w:val="center"/>
        </w:trPr>
        <w:tc>
          <w:tcPr>
            <w:tcW w:w="2541" w:type="dxa"/>
            <w:shd w:val="clear" w:color="auto" w:fill="17365D"/>
            <w:vAlign w:val="center"/>
          </w:tcPr>
          <w:p w14:paraId="63845207" w14:textId="77777777" w:rsidR="00151AFC" w:rsidRDefault="00000000">
            <w:r>
              <w:rPr>
                <w:b/>
                <w:color w:val="FFFFFF"/>
                <w:sz w:val="16"/>
              </w:rPr>
              <w:t>Step</w:t>
            </w:r>
          </w:p>
        </w:tc>
        <w:tc>
          <w:tcPr>
            <w:tcW w:w="2541" w:type="dxa"/>
            <w:shd w:val="clear" w:color="auto" w:fill="17365D"/>
            <w:vAlign w:val="center"/>
          </w:tcPr>
          <w:p w14:paraId="664BD060" w14:textId="77777777" w:rsidR="00151AFC" w:rsidRDefault="00000000">
            <w:r>
              <w:rPr>
                <w:b/>
                <w:color w:val="FFFFFF"/>
                <w:sz w:val="16"/>
              </w:rPr>
              <w:t>Module</w:t>
            </w:r>
          </w:p>
        </w:tc>
        <w:tc>
          <w:tcPr>
            <w:tcW w:w="2541" w:type="dxa"/>
            <w:shd w:val="clear" w:color="auto" w:fill="17365D"/>
            <w:vAlign w:val="center"/>
          </w:tcPr>
          <w:p w14:paraId="0585DA0E" w14:textId="77777777" w:rsidR="00151AFC" w:rsidRDefault="00000000">
            <w:r>
              <w:rPr>
                <w:b/>
                <w:color w:val="FFFFFF"/>
                <w:sz w:val="16"/>
              </w:rPr>
              <w:t>Required behavior</w:t>
            </w:r>
          </w:p>
        </w:tc>
        <w:tc>
          <w:tcPr>
            <w:tcW w:w="2541" w:type="dxa"/>
            <w:shd w:val="clear" w:color="auto" w:fill="17365D"/>
            <w:vAlign w:val="center"/>
          </w:tcPr>
          <w:p w14:paraId="7B0B0321" w14:textId="77777777" w:rsidR="00151AFC" w:rsidRDefault="00000000">
            <w:r>
              <w:rPr>
                <w:b/>
                <w:color w:val="FFFFFF"/>
                <w:sz w:val="16"/>
              </w:rPr>
              <w:t>Output</w:t>
            </w:r>
          </w:p>
        </w:tc>
      </w:tr>
      <w:tr w:rsidR="00151AFC" w14:paraId="7D69D54C" w14:textId="77777777">
        <w:trPr>
          <w:jc w:val="center"/>
        </w:trPr>
        <w:tc>
          <w:tcPr>
            <w:tcW w:w="2541" w:type="dxa"/>
            <w:vAlign w:val="center"/>
          </w:tcPr>
          <w:p w14:paraId="139DF758" w14:textId="77777777" w:rsidR="00151AFC" w:rsidRDefault="00000000">
            <w:r>
              <w:rPr>
                <w:sz w:val="16"/>
              </w:rPr>
              <w:t>B1</w:t>
            </w:r>
          </w:p>
        </w:tc>
        <w:tc>
          <w:tcPr>
            <w:tcW w:w="2541" w:type="dxa"/>
            <w:vAlign w:val="center"/>
          </w:tcPr>
          <w:p w14:paraId="2E26B0BA" w14:textId="77777777" w:rsidR="00151AFC" w:rsidRDefault="00000000">
            <w:r>
              <w:rPr>
                <w:sz w:val="16"/>
              </w:rPr>
              <w:t>Target normalization</w:t>
            </w:r>
          </w:p>
        </w:tc>
        <w:tc>
          <w:tcPr>
            <w:tcW w:w="2541" w:type="dxa"/>
            <w:vAlign w:val="center"/>
          </w:tcPr>
          <w:p w14:paraId="1D56AD88" w14:textId="77777777" w:rsidR="00151AFC" w:rsidRDefault="00000000">
            <w:r>
              <w:rPr>
                <w:sz w:val="16"/>
              </w:rPr>
              <w:t xml:space="preserve">Resolve MSLN identity, protein/isoform, mature extracellular region, cleavage/shedding relevance </w:t>
            </w:r>
            <w:r>
              <w:rPr>
                <w:sz w:val="16"/>
              </w:rPr>
              <w:lastRenderedPageBreak/>
              <w:t>and epitope regions where evidence exists.</w:t>
            </w:r>
          </w:p>
        </w:tc>
        <w:tc>
          <w:tcPr>
            <w:tcW w:w="2541" w:type="dxa"/>
            <w:vAlign w:val="center"/>
          </w:tcPr>
          <w:p w14:paraId="214C0BB5" w14:textId="77777777" w:rsidR="00151AFC" w:rsidRDefault="00000000">
            <w:r>
              <w:rPr>
                <w:sz w:val="16"/>
              </w:rPr>
              <w:lastRenderedPageBreak/>
              <w:t>normalized_target</w:t>
            </w:r>
          </w:p>
        </w:tc>
      </w:tr>
      <w:tr w:rsidR="00151AFC" w14:paraId="297DF0FF" w14:textId="77777777">
        <w:trPr>
          <w:jc w:val="center"/>
        </w:trPr>
        <w:tc>
          <w:tcPr>
            <w:tcW w:w="2541" w:type="dxa"/>
            <w:shd w:val="clear" w:color="auto" w:fill="F4F7FA"/>
            <w:vAlign w:val="center"/>
          </w:tcPr>
          <w:p w14:paraId="6028CDCD" w14:textId="77777777" w:rsidR="00151AFC" w:rsidRDefault="00000000">
            <w:r>
              <w:rPr>
                <w:sz w:val="16"/>
              </w:rPr>
              <w:t>B2</w:t>
            </w:r>
          </w:p>
        </w:tc>
        <w:tc>
          <w:tcPr>
            <w:tcW w:w="2541" w:type="dxa"/>
            <w:shd w:val="clear" w:color="auto" w:fill="F4F7FA"/>
            <w:vAlign w:val="center"/>
          </w:tcPr>
          <w:p w14:paraId="186C21CB" w14:textId="77777777" w:rsidR="00151AFC" w:rsidRDefault="00000000">
            <w:r>
              <w:rPr>
                <w:sz w:val="16"/>
              </w:rPr>
              <w:t>Binder evidence retrieval</w:t>
            </w:r>
          </w:p>
        </w:tc>
        <w:tc>
          <w:tcPr>
            <w:tcW w:w="2541" w:type="dxa"/>
            <w:shd w:val="clear" w:color="auto" w:fill="F4F7FA"/>
            <w:vAlign w:val="center"/>
          </w:tcPr>
          <w:p w14:paraId="075926F1" w14:textId="77777777" w:rsidR="00151AFC" w:rsidRDefault="00000000">
            <w:r>
              <w:rPr>
                <w:sz w:val="16"/>
              </w:rPr>
              <w:t>Search the connected binder evidence for MSLN-specific antibody/scFv/VH-VL sequences and supporting records.</w:t>
            </w:r>
          </w:p>
        </w:tc>
        <w:tc>
          <w:tcPr>
            <w:tcW w:w="2541" w:type="dxa"/>
            <w:shd w:val="clear" w:color="auto" w:fill="F4F7FA"/>
            <w:vAlign w:val="center"/>
          </w:tcPr>
          <w:p w14:paraId="023795E4" w14:textId="77777777" w:rsidR="00151AFC" w:rsidRDefault="00000000">
            <w:r>
              <w:rPr>
                <w:sz w:val="16"/>
              </w:rPr>
              <w:t>retrieved_binders[]</w:t>
            </w:r>
          </w:p>
        </w:tc>
      </w:tr>
      <w:tr w:rsidR="00151AFC" w14:paraId="13BADB56" w14:textId="77777777">
        <w:trPr>
          <w:jc w:val="center"/>
        </w:trPr>
        <w:tc>
          <w:tcPr>
            <w:tcW w:w="2541" w:type="dxa"/>
            <w:vAlign w:val="center"/>
          </w:tcPr>
          <w:p w14:paraId="5F931DB6" w14:textId="77777777" w:rsidR="00151AFC" w:rsidRDefault="00000000">
            <w:r>
              <w:rPr>
                <w:sz w:val="16"/>
              </w:rPr>
              <w:t>B3</w:t>
            </w:r>
          </w:p>
        </w:tc>
        <w:tc>
          <w:tcPr>
            <w:tcW w:w="2541" w:type="dxa"/>
            <w:vAlign w:val="center"/>
          </w:tcPr>
          <w:p w14:paraId="29E7AD01" w14:textId="77777777" w:rsidR="00151AFC" w:rsidRDefault="00000000">
            <w:r>
              <w:rPr>
                <w:sz w:val="16"/>
              </w:rPr>
              <w:t>Antigen-match validation</w:t>
            </w:r>
          </w:p>
        </w:tc>
        <w:tc>
          <w:tcPr>
            <w:tcW w:w="2541" w:type="dxa"/>
            <w:vAlign w:val="center"/>
          </w:tcPr>
          <w:p w14:paraId="37E4C9B1" w14:textId="77777777" w:rsidR="00151AFC" w:rsidRDefault="00000000">
            <w:r>
              <w:rPr>
                <w:sz w:val="16"/>
              </w:rPr>
              <w:t>Verify that the experimentally recorded antigen is MSLN, not an unrelated accession hit, crystallization chaperone, purification partner or tag.</w:t>
            </w:r>
          </w:p>
        </w:tc>
        <w:tc>
          <w:tcPr>
            <w:tcW w:w="2541" w:type="dxa"/>
            <w:vAlign w:val="center"/>
          </w:tcPr>
          <w:p w14:paraId="5F1A6C55" w14:textId="77777777" w:rsidR="00151AFC" w:rsidRDefault="00000000">
            <w:r>
              <w:rPr>
                <w:sz w:val="16"/>
              </w:rPr>
              <w:t>target_match_score + wrong_antigen_flag</w:t>
            </w:r>
          </w:p>
        </w:tc>
      </w:tr>
      <w:tr w:rsidR="00151AFC" w14:paraId="4E82AFF6" w14:textId="77777777">
        <w:trPr>
          <w:jc w:val="center"/>
        </w:trPr>
        <w:tc>
          <w:tcPr>
            <w:tcW w:w="2541" w:type="dxa"/>
            <w:shd w:val="clear" w:color="auto" w:fill="F4F7FA"/>
            <w:vAlign w:val="center"/>
          </w:tcPr>
          <w:p w14:paraId="027D3FA6" w14:textId="77777777" w:rsidR="00151AFC" w:rsidRDefault="00000000">
            <w:r>
              <w:rPr>
                <w:sz w:val="16"/>
              </w:rPr>
              <w:t>B4</w:t>
            </w:r>
          </w:p>
        </w:tc>
        <w:tc>
          <w:tcPr>
            <w:tcW w:w="2541" w:type="dxa"/>
            <w:shd w:val="clear" w:color="auto" w:fill="F4F7FA"/>
            <w:vAlign w:val="center"/>
          </w:tcPr>
          <w:p w14:paraId="19FF68C6" w14:textId="77777777" w:rsidR="00151AFC" w:rsidRDefault="00000000">
            <w:r>
              <w:rPr>
                <w:sz w:val="16"/>
              </w:rPr>
              <w:t>Sequence sanitation</w:t>
            </w:r>
          </w:p>
        </w:tc>
        <w:tc>
          <w:tcPr>
            <w:tcW w:w="2541" w:type="dxa"/>
            <w:shd w:val="clear" w:color="auto" w:fill="F4F7FA"/>
            <w:vAlign w:val="center"/>
          </w:tcPr>
          <w:p w14:paraId="76632083" w14:textId="77777777" w:rsidR="00151AFC" w:rsidRDefault="00000000">
            <w:r>
              <w:rPr>
                <w:sz w:val="16"/>
              </w:rPr>
              <w:t>Keep original sequence; create a cleaned mature sequence only when metadata supports leader/tag removal. Never overwrite provenance.</w:t>
            </w:r>
          </w:p>
        </w:tc>
        <w:tc>
          <w:tcPr>
            <w:tcW w:w="2541" w:type="dxa"/>
            <w:shd w:val="clear" w:color="auto" w:fill="F4F7FA"/>
            <w:vAlign w:val="center"/>
          </w:tcPr>
          <w:p w14:paraId="53E3355A" w14:textId="77777777" w:rsidR="00151AFC" w:rsidRDefault="00000000">
            <w:r>
              <w:rPr>
                <w:sz w:val="16"/>
              </w:rPr>
              <w:t>sequence_original + sequence_clean + modifications[]</w:t>
            </w:r>
          </w:p>
        </w:tc>
      </w:tr>
      <w:tr w:rsidR="00151AFC" w14:paraId="6DE20E55" w14:textId="77777777">
        <w:trPr>
          <w:jc w:val="center"/>
        </w:trPr>
        <w:tc>
          <w:tcPr>
            <w:tcW w:w="2541" w:type="dxa"/>
            <w:vAlign w:val="center"/>
          </w:tcPr>
          <w:p w14:paraId="06A54A49" w14:textId="77777777" w:rsidR="00151AFC" w:rsidRDefault="00000000">
            <w:r>
              <w:rPr>
                <w:sz w:val="16"/>
              </w:rPr>
              <w:t>B5</w:t>
            </w:r>
          </w:p>
        </w:tc>
        <w:tc>
          <w:tcPr>
            <w:tcW w:w="2541" w:type="dxa"/>
            <w:vAlign w:val="center"/>
          </w:tcPr>
          <w:p w14:paraId="0E1F84CD" w14:textId="77777777" w:rsidR="00151AFC" w:rsidRDefault="00000000">
            <w:r>
              <w:rPr>
                <w:sz w:val="16"/>
              </w:rPr>
              <w:t>Antibody annotation</w:t>
            </w:r>
          </w:p>
        </w:tc>
        <w:tc>
          <w:tcPr>
            <w:tcW w:w="2541" w:type="dxa"/>
            <w:vAlign w:val="center"/>
          </w:tcPr>
          <w:p w14:paraId="6A365B60" w14:textId="77777777" w:rsidR="00151AFC" w:rsidRDefault="00000000">
            <w:r>
              <w:rPr>
                <w:sz w:val="16"/>
              </w:rPr>
              <w:t>Identify VH/VL, frameworks, CDRs, germline similarity/humanness and unusual residues.</w:t>
            </w:r>
          </w:p>
        </w:tc>
        <w:tc>
          <w:tcPr>
            <w:tcW w:w="2541" w:type="dxa"/>
            <w:vAlign w:val="center"/>
          </w:tcPr>
          <w:p w14:paraId="425C66D7" w14:textId="77777777" w:rsidR="00151AFC" w:rsidRDefault="00000000">
            <w:r>
              <w:rPr>
                <w:sz w:val="16"/>
              </w:rPr>
              <w:t>annotation + humanness features</w:t>
            </w:r>
          </w:p>
        </w:tc>
      </w:tr>
      <w:tr w:rsidR="00151AFC" w14:paraId="5D12253B" w14:textId="77777777">
        <w:trPr>
          <w:jc w:val="center"/>
        </w:trPr>
        <w:tc>
          <w:tcPr>
            <w:tcW w:w="2541" w:type="dxa"/>
            <w:shd w:val="clear" w:color="auto" w:fill="F4F7FA"/>
            <w:vAlign w:val="center"/>
          </w:tcPr>
          <w:p w14:paraId="144CD6FB" w14:textId="77777777" w:rsidR="00151AFC" w:rsidRDefault="00000000">
            <w:r>
              <w:rPr>
                <w:sz w:val="16"/>
              </w:rPr>
              <w:t>B6</w:t>
            </w:r>
          </w:p>
        </w:tc>
        <w:tc>
          <w:tcPr>
            <w:tcW w:w="2541" w:type="dxa"/>
            <w:shd w:val="clear" w:color="auto" w:fill="F4F7FA"/>
            <w:vAlign w:val="center"/>
          </w:tcPr>
          <w:p w14:paraId="62E017A6" w14:textId="77777777" w:rsidR="00151AFC" w:rsidRDefault="00000000">
            <w:r>
              <w:rPr>
                <w:sz w:val="16"/>
              </w:rPr>
              <w:t>Affinity evidence/prediction</w:t>
            </w:r>
          </w:p>
        </w:tc>
        <w:tc>
          <w:tcPr>
            <w:tcW w:w="2541" w:type="dxa"/>
            <w:shd w:val="clear" w:color="auto" w:fill="F4F7FA"/>
            <w:vAlign w:val="center"/>
          </w:tcPr>
          <w:p w14:paraId="49F82B8C" w14:textId="77777777" w:rsidR="00151AFC" w:rsidRDefault="00000000">
            <w:r>
              <w:rPr>
                <w:sz w:val="16"/>
              </w:rPr>
              <w:t>Separate retrieved experimental affinity from model prediction. Include assay/construct metadata and confidence.</w:t>
            </w:r>
          </w:p>
        </w:tc>
        <w:tc>
          <w:tcPr>
            <w:tcW w:w="2541" w:type="dxa"/>
            <w:shd w:val="clear" w:color="auto" w:fill="F4F7FA"/>
            <w:vAlign w:val="center"/>
          </w:tcPr>
          <w:p w14:paraId="50AB7772" w14:textId="77777777" w:rsidR="00151AFC" w:rsidRDefault="00000000">
            <w:r>
              <w:rPr>
                <w:sz w:val="16"/>
              </w:rPr>
              <w:t>affinity object</w:t>
            </w:r>
          </w:p>
        </w:tc>
      </w:tr>
      <w:tr w:rsidR="00151AFC" w14:paraId="249F4C73" w14:textId="77777777">
        <w:trPr>
          <w:jc w:val="center"/>
        </w:trPr>
        <w:tc>
          <w:tcPr>
            <w:tcW w:w="2541" w:type="dxa"/>
            <w:vAlign w:val="center"/>
          </w:tcPr>
          <w:p w14:paraId="1C2B39F4" w14:textId="77777777" w:rsidR="00151AFC" w:rsidRDefault="00000000">
            <w:r>
              <w:rPr>
                <w:sz w:val="16"/>
              </w:rPr>
              <w:t>B7</w:t>
            </w:r>
          </w:p>
        </w:tc>
        <w:tc>
          <w:tcPr>
            <w:tcW w:w="2541" w:type="dxa"/>
            <w:vAlign w:val="center"/>
          </w:tcPr>
          <w:p w14:paraId="415B003C" w14:textId="77777777" w:rsidR="00151AFC" w:rsidRDefault="00000000">
            <w:r>
              <w:rPr>
                <w:sz w:val="16"/>
              </w:rPr>
              <w:t>Developability</w:t>
            </w:r>
          </w:p>
        </w:tc>
        <w:tc>
          <w:tcPr>
            <w:tcW w:w="2541" w:type="dxa"/>
            <w:vAlign w:val="center"/>
          </w:tcPr>
          <w:p w14:paraId="5B24D948" w14:textId="77777777" w:rsidR="00151AFC" w:rsidRDefault="00000000">
            <w:r>
              <w:rPr>
                <w:sz w:val="16"/>
              </w:rPr>
              <w:t>Calculate CPU-friendly sequence liabilities: charge/pI, hydrophobicity proxies, aggregation motifs, oxidation/deamidation/isomerization, cysteine and complexity.</w:t>
            </w:r>
          </w:p>
        </w:tc>
        <w:tc>
          <w:tcPr>
            <w:tcW w:w="2541" w:type="dxa"/>
            <w:vAlign w:val="center"/>
          </w:tcPr>
          <w:p w14:paraId="2FB0970B" w14:textId="77777777" w:rsidR="00151AFC" w:rsidRDefault="00000000">
            <w:r>
              <w:rPr>
                <w:sz w:val="16"/>
              </w:rPr>
              <w:t>developability scorecard</w:t>
            </w:r>
          </w:p>
        </w:tc>
      </w:tr>
      <w:tr w:rsidR="00151AFC" w14:paraId="125A072A" w14:textId="77777777">
        <w:trPr>
          <w:jc w:val="center"/>
        </w:trPr>
        <w:tc>
          <w:tcPr>
            <w:tcW w:w="2541" w:type="dxa"/>
            <w:shd w:val="clear" w:color="auto" w:fill="F4F7FA"/>
            <w:vAlign w:val="center"/>
          </w:tcPr>
          <w:p w14:paraId="0E44AE3F" w14:textId="77777777" w:rsidR="00151AFC" w:rsidRDefault="00000000">
            <w:r>
              <w:rPr>
                <w:sz w:val="16"/>
              </w:rPr>
              <w:t>B8</w:t>
            </w:r>
          </w:p>
        </w:tc>
        <w:tc>
          <w:tcPr>
            <w:tcW w:w="2541" w:type="dxa"/>
            <w:shd w:val="clear" w:color="auto" w:fill="F4F7FA"/>
            <w:vAlign w:val="center"/>
          </w:tcPr>
          <w:p w14:paraId="7BDD71E3" w14:textId="77777777" w:rsidR="00151AFC" w:rsidRDefault="00000000">
            <w:r>
              <w:rPr>
                <w:sz w:val="16"/>
              </w:rPr>
              <w:t>Specificity proxy</w:t>
            </w:r>
          </w:p>
        </w:tc>
        <w:tc>
          <w:tcPr>
            <w:tcW w:w="2541" w:type="dxa"/>
            <w:shd w:val="clear" w:color="auto" w:fill="F4F7FA"/>
            <w:vAlign w:val="center"/>
          </w:tcPr>
          <w:p w14:paraId="79670AD8" w14:textId="77777777" w:rsidR="00151AFC" w:rsidRDefault="00000000">
            <w:r>
              <w:rPr>
                <w:sz w:val="16"/>
              </w:rPr>
              <w:t>Compare antigen/epitope sequence against human homologs and flag plausible off-target similarity.</w:t>
            </w:r>
          </w:p>
        </w:tc>
        <w:tc>
          <w:tcPr>
            <w:tcW w:w="2541" w:type="dxa"/>
            <w:shd w:val="clear" w:color="auto" w:fill="F4F7FA"/>
            <w:vAlign w:val="center"/>
          </w:tcPr>
          <w:p w14:paraId="01180A91" w14:textId="77777777" w:rsidR="00151AFC" w:rsidRDefault="00000000">
            <w:r>
              <w:rPr>
                <w:sz w:val="16"/>
              </w:rPr>
              <w:t>specificity_risk</w:t>
            </w:r>
          </w:p>
        </w:tc>
      </w:tr>
      <w:tr w:rsidR="00151AFC" w14:paraId="2A6CD787" w14:textId="77777777">
        <w:trPr>
          <w:jc w:val="center"/>
        </w:trPr>
        <w:tc>
          <w:tcPr>
            <w:tcW w:w="2541" w:type="dxa"/>
            <w:vAlign w:val="center"/>
          </w:tcPr>
          <w:p w14:paraId="22D1895D" w14:textId="77777777" w:rsidR="00151AFC" w:rsidRDefault="00000000">
            <w:r>
              <w:rPr>
                <w:sz w:val="16"/>
              </w:rPr>
              <w:t>B9</w:t>
            </w:r>
          </w:p>
        </w:tc>
        <w:tc>
          <w:tcPr>
            <w:tcW w:w="2541" w:type="dxa"/>
            <w:vAlign w:val="center"/>
          </w:tcPr>
          <w:p w14:paraId="5B8F6F1E" w14:textId="77777777" w:rsidR="00151AFC" w:rsidRDefault="00000000">
            <w:r>
              <w:rPr>
                <w:sz w:val="16"/>
              </w:rPr>
              <w:t>Structural evidence</w:t>
            </w:r>
          </w:p>
        </w:tc>
        <w:tc>
          <w:tcPr>
            <w:tcW w:w="2541" w:type="dxa"/>
            <w:vAlign w:val="center"/>
          </w:tcPr>
          <w:p w14:paraId="28A6A82E" w14:textId="77777777" w:rsidR="00151AFC" w:rsidRDefault="00000000">
            <w:r>
              <w:rPr>
                <w:sz w:val="16"/>
              </w:rPr>
              <w:t>Use deposited binder-antigen structural evidence only if target match is verified. Otherwise return UNKNOWN/null.</w:t>
            </w:r>
          </w:p>
        </w:tc>
        <w:tc>
          <w:tcPr>
            <w:tcW w:w="2541" w:type="dxa"/>
            <w:vAlign w:val="center"/>
          </w:tcPr>
          <w:p w14:paraId="1C8EB971" w14:textId="77777777" w:rsidR="00151AFC" w:rsidRDefault="00000000">
            <w:r>
              <w:rPr>
                <w:sz w:val="16"/>
              </w:rPr>
              <w:t>structural_evidence</w:t>
            </w:r>
          </w:p>
        </w:tc>
      </w:tr>
      <w:tr w:rsidR="00151AFC" w14:paraId="5728A0FC" w14:textId="77777777">
        <w:trPr>
          <w:jc w:val="center"/>
        </w:trPr>
        <w:tc>
          <w:tcPr>
            <w:tcW w:w="2541" w:type="dxa"/>
            <w:shd w:val="clear" w:color="auto" w:fill="F4F7FA"/>
            <w:vAlign w:val="center"/>
          </w:tcPr>
          <w:p w14:paraId="2C9527B7" w14:textId="77777777" w:rsidR="00151AFC" w:rsidRDefault="00000000">
            <w:r>
              <w:rPr>
                <w:sz w:val="16"/>
              </w:rPr>
              <w:t>B10</w:t>
            </w:r>
          </w:p>
        </w:tc>
        <w:tc>
          <w:tcPr>
            <w:tcW w:w="2541" w:type="dxa"/>
            <w:shd w:val="clear" w:color="auto" w:fill="F4F7FA"/>
            <w:vAlign w:val="center"/>
          </w:tcPr>
          <w:p w14:paraId="712170DE" w14:textId="77777777" w:rsidR="00151AFC" w:rsidRDefault="00000000">
            <w:r>
              <w:rPr>
                <w:sz w:val="16"/>
              </w:rPr>
              <w:t>Binder ranking</w:t>
            </w:r>
          </w:p>
        </w:tc>
        <w:tc>
          <w:tcPr>
            <w:tcW w:w="2541" w:type="dxa"/>
            <w:shd w:val="clear" w:color="auto" w:fill="F4F7FA"/>
            <w:vAlign w:val="center"/>
          </w:tcPr>
          <w:p w14:paraId="2AF3E93D" w14:textId="77777777" w:rsidR="00151AFC" w:rsidRDefault="00000000">
            <w:r>
              <w:rPr>
                <w:sz w:val="16"/>
              </w:rPr>
              <w:t>Apply hard gates first, then rank eligible binders using evidence-aware multi-objective scoring.</w:t>
            </w:r>
          </w:p>
        </w:tc>
        <w:tc>
          <w:tcPr>
            <w:tcW w:w="2541" w:type="dxa"/>
            <w:shd w:val="clear" w:color="auto" w:fill="F4F7FA"/>
            <w:vAlign w:val="center"/>
          </w:tcPr>
          <w:p w14:paraId="6A4794E9" w14:textId="77777777" w:rsidR="00151AFC" w:rsidRDefault="00000000">
            <w:r>
              <w:rPr>
                <w:sz w:val="16"/>
              </w:rPr>
              <w:t>binding_rank + CAR_suitability_rank</w:t>
            </w:r>
          </w:p>
        </w:tc>
      </w:tr>
    </w:tbl>
    <w:p w14:paraId="4CB4C46E" w14:textId="77777777" w:rsidR="00151AFC" w:rsidRDefault="00000000">
      <w:pPr>
        <w:pStyle w:val="Heading1"/>
      </w:pPr>
      <w:r>
        <w:t>5. Specific validation checks</w:t>
      </w:r>
    </w:p>
    <w:p w14:paraId="4DE0847B" w14:textId="77777777" w:rsidR="00151AFC" w:rsidRDefault="00000000">
      <w:pPr>
        <w:pStyle w:val="Heading2"/>
      </w:pPr>
      <w:r>
        <w:t>5.1 Retrieval recall</w:t>
      </w:r>
    </w:p>
    <w:p w14:paraId="39473854" w14:textId="77777777" w:rsidR="00151AFC" w:rsidRDefault="00000000">
      <w:r>
        <w:t>Question: when the system is given only MSLN, does it recover literature-known MSLN binders that are actually present in the connected evidence sources? A binder should not be marked as a retrieval failure if the underlying source is not connected to the platform; record source coverage explicitly.</w:t>
      </w:r>
    </w:p>
    <w:p w14:paraId="7C48B997" w14:textId="77777777" w:rsidR="00151AFC" w:rsidRDefault="00000000">
      <w:pPr>
        <w:pStyle w:val="Heading2"/>
      </w:pPr>
      <w:r>
        <w:t>5.2 Antigen identity</w:t>
      </w:r>
    </w:p>
    <w:p w14:paraId="0D04D636" w14:textId="77777777" w:rsidR="00151AFC" w:rsidRDefault="00000000">
      <w:r>
        <w:t>Every retrieved binder must pass a target-match check before ranking. This is especially important because the current platform status report identified a structural record whose recorded antigen was a different protein rather than the intended CAR target. A database hit is not sufficient evidence of target-specific binding.</w:t>
      </w:r>
    </w:p>
    <w:p w14:paraId="0D9A8EF1" w14:textId="77777777" w:rsidR="00151AFC" w:rsidRDefault="00000000">
      <w:pPr>
        <w:pStyle w:val="Heading2"/>
      </w:pPr>
      <w:r>
        <w:t>5.3 Sequence provenance</w:t>
      </w:r>
    </w:p>
    <w:p w14:paraId="7D6A654D" w14:textId="77777777" w:rsidR="00151AFC" w:rsidRDefault="00000000">
      <w:pPr>
        <w:rPr>
          <w:rFonts w:eastAsia="맑은 고딕"/>
          <w:lang w:eastAsia="ko-KR"/>
        </w:rPr>
      </w:pPr>
      <w:r>
        <w:t>Keep original and cleaned sequences separately. Detect expression leaders, purification tags or construct artifacts and remove them only when the source metadata justifies the change. Every modification must be auditable.</w:t>
      </w:r>
    </w:p>
    <w:p w14:paraId="760FA9CA" w14:textId="77777777" w:rsidR="00FA0519" w:rsidRDefault="00FA0519">
      <w:pPr>
        <w:rPr>
          <w:rFonts w:eastAsia="맑은 고딕"/>
          <w:lang w:eastAsia="ko-KR"/>
        </w:rPr>
      </w:pPr>
    </w:p>
    <w:p w14:paraId="3B449B0A" w14:textId="77777777" w:rsidR="00FA0519" w:rsidRDefault="00FA0519">
      <w:pPr>
        <w:rPr>
          <w:rFonts w:eastAsia="맑은 고딕"/>
          <w:lang w:eastAsia="ko-KR"/>
        </w:rPr>
      </w:pPr>
    </w:p>
    <w:p w14:paraId="665C0A2B" w14:textId="77777777" w:rsidR="00FA0519" w:rsidRPr="00FA0519" w:rsidRDefault="00FA0519">
      <w:pPr>
        <w:rPr>
          <w:rFonts w:eastAsia="맑은 고딕" w:hint="eastAsia"/>
          <w:lang w:eastAsia="ko-KR"/>
        </w:rPr>
      </w:pPr>
    </w:p>
    <w:p w14:paraId="75BD2C30" w14:textId="77777777" w:rsidR="00151AFC" w:rsidRDefault="00000000">
      <w:pPr>
        <w:pStyle w:val="Heading2"/>
      </w:pPr>
      <w:r>
        <w:lastRenderedPageBreak/>
        <w:t>5.4 Affinity comparison</w:t>
      </w:r>
    </w:p>
    <w:p w14:paraId="755518F5" w14:textId="77777777" w:rsidR="00151AFC" w:rsidRDefault="00000000">
      <w:r>
        <w:t>After the blind run, compare predicted or retrieved affinity with the literature benchmark. Retrieved experimental KD must be labelled EXPERIMENTAL_RETRIEVED; an algorithmic estimate must be labelled PREDICTED.</w:t>
      </w:r>
    </w:p>
    <w:tbl>
      <w:tblPr>
        <w:tblStyle w:val="TableGrid"/>
        <w:tblW w:w="0" w:type="auto"/>
        <w:tblLook w:val="04A0" w:firstRow="1" w:lastRow="0" w:firstColumn="1" w:lastColumn="0" w:noHBand="0" w:noVBand="1"/>
      </w:tblPr>
      <w:tblGrid>
        <w:gridCol w:w="10156"/>
      </w:tblGrid>
      <w:tr w:rsidR="00151AFC" w14:paraId="35DC2CC3" w14:textId="77777777">
        <w:tc>
          <w:tcPr>
            <w:tcW w:w="10166" w:type="dxa"/>
            <w:shd w:val="clear" w:color="auto" w:fill="F2F4F7"/>
          </w:tcPr>
          <w:p w14:paraId="5CAB6204" w14:textId="77777777" w:rsidR="00151AFC" w:rsidRDefault="00000000">
            <w:r>
              <w:rPr>
                <w:rFonts w:ascii="Consolas" w:hAnsi="Consolas"/>
                <w:sz w:val="16"/>
              </w:rPr>
              <w:t>fold_error = max(KD_prediction / KD_experiment,</w:t>
            </w:r>
            <w:r>
              <w:rPr>
                <w:rFonts w:ascii="Consolas" w:hAnsi="Consolas"/>
                <w:sz w:val="16"/>
              </w:rPr>
              <w:br/>
              <w:t xml:space="preserve">                 KD_experiment / KD_prediction)</w:t>
            </w:r>
            <w:r>
              <w:rPr>
                <w:rFonts w:ascii="Consolas" w:hAnsi="Consolas"/>
                <w:sz w:val="16"/>
              </w:rPr>
              <w:br/>
            </w:r>
            <w:r>
              <w:rPr>
                <w:rFonts w:ascii="Consolas" w:hAnsi="Consolas"/>
                <w:sz w:val="16"/>
              </w:rPr>
              <w:br/>
              <w:t>Example:</w:t>
            </w:r>
            <w:r>
              <w:rPr>
                <w:rFonts w:ascii="Consolas" w:hAnsi="Consolas"/>
                <w:sz w:val="16"/>
              </w:rPr>
              <w:br/>
              <w:t>literature KD = 26.9 nM</w:t>
            </w:r>
            <w:r>
              <w:rPr>
                <w:rFonts w:ascii="Consolas" w:hAnsi="Consolas"/>
                <w:sz w:val="16"/>
              </w:rPr>
              <w:br/>
              <w:t>prediction     = 32.0 nM</w:t>
            </w:r>
            <w:r>
              <w:rPr>
                <w:rFonts w:ascii="Consolas" w:hAnsi="Consolas"/>
                <w:sz w:val="16"/>
              </w:rPr>
              <w:br/>
              <w:t>fold error     ≈ 1.19x</w:t>
            </w:r>
          </w:p>
        </w:tc>
      </w:tr>
    </w:tbl>
    <w:p w14:paraId="5AAE119A" w14:textId="77777777" w:rsidR="00151AFC" w:rsidRDefault="00000000">
      <w:r>
        <w:t>Do not use exact KD agreement as the only pass criterion. For a ranking platform, the relative ordering of binders can be more informative than one apparently precise numerical match.</w:t>
      </w:r>
    </w:p>
    <w:p w14:paraId="62E615D6" w14:textId="77777777" w:rsidR="00151AFC" w:rsidRDefault="00000000">
      <w:pPr>
        <w:pStyle w:val="Heading1"/>
      </w:pPr>
      <w:r>
        <w:t>6. Two rankings are required</w:t>
      </w:r>
    </w:p>
    <w:p w14:paraId="2FE0AB3A" w14:textId="77777777" w:rsidR="00151AFC" w:rsidRDefault="00000000">
      <w:pPr>
        <w:pStyle w:val="Heading2"/>
      </w:pPr>
      <w:r>
        <w:t>6.1 Binding ranking</w:t>
      </w:r>
    </w:p>
    <w:p w14:paraId="5915ACE8" w14:textId="77777777" w:rsidR="00151AFC" w:rsidRDefault="00000000">
      <w:r>
        <w:t>Ranks binders primarily by target-match and binding evidence/affinity. This answers: Which binder appears to bind MSLN most strongly?</w:t>
      </w:r>
    </w:p>
    <w:tbl>
      <w:tblPr>
        <w:tblStyle w:val="TableGrid"/>
        <w:tblW w:w="0" w:type="auto"/>
        <w:jc w:val="center"/>
        <w:tblLook w:val="04A0" w:firstRow="1" w:lastRow="0" w:firstColumn="1" w:lastColumn="0" w:noHBand="0" w:noVBand="1"/>
      </w:tblPr>
      <w:tblGrid>
        <w:gridCol w:w="2539"/>
        <w:gridCol w:w="2539"/>
        <w:gridCol w:w="2539"/>
        <w:gridCol w:w="2539"/>
      </w:tblGrid>
      <w:tr w:rsidR="00151AFC" w14:paraId="3489D20C" w14:textId="77777777">
        <w:trPr>
          <w:jc w:val="center"/>
        </w:trPr>
        <w:tc>
          <w:tcPr>
            <w:tcW w:w="2541" w:type="dxa"/>
            <w:shd w:val="clear" w:color="auto" w:fill="17365D"/>
            <w:vAlign w:val="center"/>
          </w:tcPr>
          <w:p w14:paraId="2F971C25" w14:textId="77777777" w:rsidR="00151AFC" w:rsidRDefault="00000000">
            <w:r>
              <w:rPr>
                <w:b/>
                <w:color w:val="FFFFFF"/>
                <w:sz w:val="16"/>
              </w:rPr>
              <w:t>Rank</w:t>
            </w:r>
          </w:p>
        </w:tc>
        <w:tc>
          <w:tcPr>
            <w:tcW w:w="2541" w:type="dxa"/>
            <w:shd w:val="clear" w:color="auto" w:fill="17365D"/>
            <w:vAlign w:val="center"/>
          </w:tcPr>
          <w:p w14:paraId="531F8571" w14:textId="77777777" w:rsidR="00151AFC" w:rsidRDefault="00000000">
            <w:r>
              <w:rPr>
                <w:b/>
                <w:color w:val="FFFFFF"/>
                <w:sz w:val="16"/>
              </w:rPr>
              <w:t>Binder</w:t>
            </w:r>
          </w:p>
        </w:tc>
        <w:tc>
          <w:tcPr>
            <w:tcW w:w="2541" w:type="dxa"/>
            <w:shd w:val="clear" w:color="auto" w:fill="17365D"/>
            <w:vAlign w:val="center"/>
          </w:tcPr>
          <w:p w14:paraId="7B4F1D42" w14:textId="77777777" w:rsidR="00151AFC" w:rsidRDefault="00000000">
            <w:r>
              <w:rPr>
                <w:b/>
                <w:color w:val="FFFFFF"/>
                <w:sz w:val="16"/>
              </w:rPr>
              <w:t>Affinity / evidence</w:t>
            </w:r>
          </w:p>
        </w:tc>
        <w:tc>
          <w:tcPr>
            <w:tcW w:w="2541" w:type="dxa"/>
            <w:shd w:val="clear" w:color="auto" w:fill="17365D"/>
            <w:vAlign w:val="center"/>
          </w:tcPr>
          <w:p w14:paraId="25226BAF" w14:textId="77777777" w:rsidR="00151AFC" w:rsidRDefault="00000000">
            <w:r>
              <w:rPr>
                <w:b/>
                <w:color w:val="FFFFFF"/>
                <w:sz w:val="16"/>
              </w:rPr>
              <w:t>Confidence</w:t>
            </w:r>
          </w:p>
        </w:tc>
      </w:tr>
      <w:tr w:rsidR="00151AFC" w14:paraId="5092518E" w14:textId="77777777">
        <w:trPr>
          <w:jc w:val="center"/>
        </w:trPr>
        <w:tc>
          <w:tcPr>
            <w:tcW w:w="2541" w:type="dxa"/>
            <w:vAlign w:val="center"/>
          </w:tcPr>
          <w:p w14:paraId="264BD60D" w14:textId="77777777" w:rsidR="00151AFC" w:rsidRDefault="00000000">
            <w:r>
              <w:rPr>
                <w:sz w:val="16"/>
              </w:rPr>
              <w:t>1</w:t>
            </w:r>
          </w:p>
        </w:tc>
        <w:tc>
          <w:tcPr>
            <w:tcW w:w="2541" w:type="dxa"/>
            <w:vAlign w:val="center"/>
          </w:tcPr>
          <w:p w14:paraId="465F7355" w14:textId="77777777" w:rsidR="00151AFC" w:rsidRDefault="00000000">
            <w:r>
              <w:rPr>
                <w:sz w:val="16"/>
              </w:rPr>
              <w:t>Algorithm output</w:t>
            </w:r>
          </w:p>
        </w:tc>
        <w:tc>
          <w:tcPr>
            <w:tcW w:w="2541" w:type="dxa"/>
            <w:vAlign w:val="center"/>
          </w:tcPr>
          <w:p w14:paraId="56D87013" w14:textId="77777777" w:rsidR="00151AFC" w:rsidRDefault="00000000">
            <w:r>
              <w:rPr>
                <w:sz w:val="16"/>
              </w:rPr>
              <w:t>Algorithm output</w:t>
            </w:r>
          </w:p>
        </w:tc>
        <w:tc>
          <w:tcPr>
            <w:tcW w:w="2541" w:type="dxa"/>
            <w:vAlign w:val="center"/>
          </w:tcPr>
          <w:p w14:paraId="48506DD5" w14:textId="77777777" w:rsidR="00151AFC" w:rsidRDefault="00000000">
            <w:r>
              <w:rPr>
                <w:sz w:val="16"/>
              </w:rPr>
              <w:t>Algorithm output</w:t>
            </w:r>
          </w:p>
        </w:tc>
      </w:tr>
      <w:tr w:rsidR="00151AFC" w14:paraId="689C23A8" w14:textId="77777777">
        <w:trPr>
          <w:jc w:val="center"/>
        </w:trPr>
        <w:tc>
          <w:tcPr>
            <w:tcW w:w="2541" w:type="dxa"/>
            <w:shd w:val="clear" w:color="auto" w:fill="F4F7FA"/>
            <w:vAlign w:val="center"/>
          </w:tcPr>
          <w:p w14:paraId="184F91E0" w14:textId="77777777" w:rsidR="00151AFC" w:rsidRDefault="00000000">
            <w:r>
              <w:rPr>
                <w:sz w:val="16"/>
              </w:rPr>
              <w:t>2</w:t>
            </w:r>
          </w:p>
        </w:tc>
        <w:tc>
          <w:tcPr>
            <w:tcW w:w="2541" w:type="dxa"/>
            <w:shd w:val="clear" w:color="auto" w:fill="F4F7FA"/>
            <w:vAlign w:val="center"/>
          </w:tcPr>
          <w:p w14:paraId="3F9BF752" w14:textId="77777777" w:rsidR="00151AFC" w:rsidRDefault="00000000">
            <w:r>
              <w:rPr>
                <w:sz w:val="16"/>
              </w:rPr>
              <w:t>Algorithm output</w:t>
            </w:r>
          </w:p>
        </w:tc>
        <w:tc>
          <w:tcPr>
            <w:tcW w:w="2541" w:type="dxa"/>
            <w:shd w:val="clear" w:color="auto" w:fill="F4F7FA"/>
            <w:vAlign w:val="center"/>
          </w:tcPr>
          <w:p w14:paraId="5D6BE06D" w14:textId="77777777" w:rsidR="00151AFC" w:rsidRDefault="00000000">
            <w:r>
              <w:rPr>
                <w:sz w:val="16"/>
              </w:rPr>
              <w:t>Algorithm output</w:t>
            </w:r>
          </w:p>
        </w:tc>
        <w:tc>
          <w:tcPr>
            <w:tcW w:w="2541" w:type="dxa"/>
            <w:shd w:val="clear" w:color="auto" w:fill="F4F7FA"/>
            <w:vAlign w:val="center"/>
          </w:tcPr>
          <w:p w14:paraId="0E8D950F" w14:textId="77777777" w:rsidR="00151AFC" w:rsidRDefault="00000000">
            <w:r>
              <w:rPr>
                <w:sz w:val="16"/>
              </w:rPr>
              <w:t>Algorithm output</w:t>
            </w:r>
          </w:p>
        </w:tc>
      </w:tr>
      <w:tr w:rsidR="00151AFC" w14:paraId="707555C4" w14:textId="77777777">
        <w:trPr>
          <w:jc w:val="center"/>
        </w:trPr>
        <w:tc>
          <w:tcPr>
            <w:tcW w:w="2541" w:type="dxa"/>
            <w:vAlign w:val="center"/>
          </w:tcPr>
          <w:p w14:paraId="4910E19C" w14:textId="77777777" w:rsidR="00151AFC" w:rsidRDefault="00000000">
            <w:r>
              <w:rPr>
                <w:sz w:val="16"/>
              </w:rPr>
              <w:t>3</w:t>
            </w:r>
          </w:p>
        </w:tc>
        <w:tc>
          <w:tcPr>
            <w:tcW w:w="2541" w:type="dxa"/>
            <w:vAlign w:val="center"/>
          </w:tcPr>
          <w:p w14:paraId="27AC07FF" w14:textId="77777777" w:rsidR="00151AFC" w:rsidRDefault="00000000">
            <w:r>
              <w:rPr>
                <w:sz w:val="16"/>
              </w:rPr>
              <w:t>Algorithm output</w:t>
            </w:r>
          </w:p>
        </w:tc>
        <w:tc>
          <w:tcPr>
            <w:tcW w:w="2541" w:type="dxa"/>
            <w:vAlign w:val="center"/>
          </w:tcPr>
          <w:p w14:paraId="0DBB91D0" w14:textId="77777777" w:rsidR="00151AFC" w:rsidRDefault="00000000">
            <w:r>
              <w:rPr>
                <w:sz w:val="16"/>
              </w:rPr>
              <w:t>Algorithm output</w:t>
            </w:r>
          </w:p>
        </w:tc>
        <w:tc>
          <w:tcPr>
            <w:tcW w:w="2541" w:type="dxa"/>
            <w:vAlign w:val="center"/>
          </w:tcPr>
          <w:p w14:paraId="6FD599AC" w14:textId="77777777" w:rsidR="00151AFC" w:rsidRDefault="00000000">
            <w:r>
              <w:rPr>
                <w:sz w:val="16"/>
              </w:rPr>
              <w:t>Algorithm output</w:t>
            </w:r>
          </w:p>
        </w:tc>
      </w:tr>
    </w:tbl>
    <w:p w14:paraId="60682AD3" w14:textId="77777777" w:rsidR="00151AFC" w:rsidRDefault="00000000">
      <w:pPr>
        <w:pStyle w:val="Heading2"/>
      </w:pPr>
      <w:r>
        <w:t>6.2 CAR-suitability ranking</w:t>
      </w:r>
    </w:p>
    <w:p w14:paraId="173FCCC7" w14:textId="77777777" w:rsidR="00151AFC" w:rsidRDefault="00000000">
      <w:r>
        <w:t>This is the more important product ranking. Highest affinity must not automatically equal best CAR binder. Include CAR-context factors such as epitope accessibility, membrane proximity, antigen shedding/interference, specificity, developability, humanness and evidence confidence.</w:t>
      </w:r>
    </w:p>
    <w:tbl>
      <w:tblPr>
        <w:tblStyle w:val="TableGrid"/>
        <w:tblW w:w="0" w:type="auto"/>
        <w:tblLook w:val="04A0" w:firstRow="1" w:lastRow="0" w:firstColumn="1" w:lastColumn="0" w:noHBand="0" w:noVBand="1"/>
      </w:tblPr>
      <w:tblGrid>
        <w:gridCol w:w="1270"/>
        <w:gridCol w:w="1269"/>
        <w:gridCol w:w="1269"/>
        <w:gridCol w:w="1269"/>
        <w:gridCol w:w="1269"/>
        <w:gridCol w:w="1271"/>
        <w:gridCol w:w="1270"/>
        <w:gridCol w:w="1269"/>
      </w:tblGrid>
      <w:tr w:rsidR="00151AFC" w14:paraId="58ABED20" w14:textId="77777777" w:rsidTr="00FA0519">
        <w:tc>
          <w:tcPr>
            <w:tcW w:w="10168" w:type="dxa"/>
            <w:gridSpan w:val="8"/>
            <w:shd w:val="clear" w:color="auto" w:fill="F2F4F7"/>
          </w:tcPr>
          <w:p w14:paraId="059FA5E5" w14:textId="77777777" w:rsidR="00151AFC" w:rsidRDefault="00000000">
            <w:r>
              <w:rPr>
                <w:rFonts w:ascii="Consolas" w:hAnsi="Consolas"/>
                <w:sz w:val="16"/>
              </w:rPr>
              <w:t>CAR Binder Suitability Score =</w:t>
            </w:r>
            <w:r>
              <w:rPr>
                <w:rFonts w:ascii="Consolas" w:hAnsi="Consolas"/>
                <w:sz w:val="16"/>
              </w:rPr>
              <w:br/>
              <w:t xml:space="preserve">  w1 * affinity</w:t>
            </w:r>
            <w:r>
              <w:rPr>
                <w:rFonts w:ascii="Consolas" w:hAnsi="Consolas"/>
                <w:sz w:val="16"/>
              </w:rPr>
              <w:br/>
              <w:t>+ w2 * epitope_accessibility</w:t>
            </w:r>
            <w:r>
              <w:rPr>
                <w:rFonts w:ascii="Consolas" w:hAnsi="Consolas"/>
                <w:sz w:val="16"/>
              </w:rPr>
              <w:br/>
              <w:t>+ w3 * membrane_proximity</w:t>
            </w:r>
            <w:r>
              <w:rPr>
                <w:rFonts w:ascii="Consolas" w:hAnsi="Consolas"/>
                <w:sz w:val="16"/>
              </w:rPr>
              <w:br/>
              <w:t>+ w4 * shedding_suitability</w:t>
            </w:r>
            <w:r>
              <w:rPr>
                <w:rFonts w:ascii="Consolas" w:hAnsi="Consolas"/>
                <w:sz w:val="16"/>
              </w:rPr>
              <w:br/>
              <w:t>+ w5 * specificity</w:t>
            </w:r>
            <w:r>
              <w:rPr>
                <w:rFonts w:ascii="Consolas" w:hAnsi="Consolas"/>
                <w:sz w:val="16"/>
              </w:rPr>
              <w:br/>
              <w:t>+ w6 * developability</w:t>
            </w:r>
            <w:r>
              <w:rPr>
                <w:rFonts w:ascii="Consolas" w:hAnsi="Consolas"/>
                <w:sz w:val="16"/>
              </w:rPr>
              <w:br/>
              <w:t>+ w7 * humanness</w:t>
            </w:r>
            <w:r>
              <w:rPr>
                <w:rFonts w:ascii="Consolas" w:hAnsi="Consolas"/>
                <w:sz w:val="16"/>
              </w:rPr>
              <w:br/>
              <w:t>then adjusted by evidence confidence</w:t>
            </w:r>
            <w:r>
              <w:rPr>
                <w:rFonts w:ascii="Consolas" w:hAnsi="Consolas"/>
                <w:sz w:val="16"/>
              </w:rPr>
              <w:br/>
            </w:r>
            <w:r>
              <w:rPr>
                <w:rFonts w:ascii="Consolas" w:hAnsi="Consolas"/>
                <w:sz w:val="16"/>
              </w:rPr>
              <w:br/>
              <w:t>Hard-gate failures must not be rescued by a high weighted score.</w:t>
            </w:r>
            <w:r>
              <w:rPr>
                <w:rFonts w:ascii="Consolas" w:hAnsi="Consolas"/>
                <w:sz w:val="16"/>
              </w:rPr>
              <w:br/>
              <w:t>Missing evidence = null / UNKNOWN, not favorable zero.</w:t>
            </w:r>
          </w:p>
        </w:tc>
      </w:tr>
      <w:tr w:rsidR="00151AFC" w14:paraId="151B001B" w14:textId="77777777">
        <w:tblPrEx>
          <w:jc w:val="center"/>
        </w:tblPrEx>
        <w:trPr>
          <w:jc w:val="center"/>
        </w:trPr>
        <w:tc>
          <w:tcPr>
            <w:tcW w:w="1271" w:type="dxa"/>
            <w:shd w:val="clear" w:color="auto" w:fill="17365D"/>
            <w:vAlign w:val="center"/>
          </w:tcPr>
          <w:p w14:paraId="56B4C189" w14:textId="77777777" w:rsidR="00151AFC" w:rsidRDefault="00000000">
            <w:r>
              <w:rPr>
                <w:b/>
                <w:color w:val="FFFFFF"/>
                <w:sz w:val="16"/>
              </w:rPr>
              <w:t>Binder</w:t>
            </w:r>
          </w:p>
        </w:tc>
        <w:tc>
          <w:tcPr>
            <w:tcW w:w="1271" w:type="dxa"/>
            <w:shd w:val="clear" w:color="auto" w:fill="17365D"/>
            <w:vAlign w:val="center"/>
          </w:tcPr>
          <w:p w14:paraId="6F718799" w14:textId="77777777" w:rsidR="00151AFC" w:rsidRDefault="00000000">
            <w:r>
              <w:rPr>
                <w:b/>
                <w:color w:val="FFFFFF"/>
                <w:sz w:val="16"/>
              </w:rPr>
              <w:t>Affinity</w:t>
            </w:r>
          </w:p>
        </w:tc>
        <w:tc>
          <w:tcPr>
            <w:tcW w:w="1271" w:type="dxa"/>
            <w:shd w:val="clear" w:color="auto" w:fill="17365D"/>
            <w:vAlign w:val="center"/>
          </w:tcPr>
          <w:p w14:paraId="716BE8D2" w14:textId="77777777" w:rsidR="00151AFC" w:rsidRDefault="00000000">
            <w:r>
              <w:rPr>
                <w:b/>
                <w:color w:val="FFFFFF"/>
                <w:sz w:val="16"/>
              </w:rPr>
              <w:t>Epitope / proximity</w:t>
            </w:r>
          </w:p>
        </w:tc>
        <w:tc>
          <w:tcPr>
            <w:tcW w:w="1271" w:type="dxa"/>
            <w:shd w:val="clear" w:color="auto" w:fill="17365D"/>
            <w:vAlign w:val="center"/>
          </w:tcPr>
          <w:p w14:paraId="53CFC463" w14:textId="77777777" w:rsidR="00151AFC" w:rsidRDefault="00000000">
            <w:r>
              <w:rPr>
                <w:b/>
                <w:color w:val="FFFFFF"/>
                <w:sz w:val="16"/>
              </w:rPr>
              <w:t>Shedding context</w:t>
            </w:r>
          </w:p>
        </w:tc>
        <w:tc>
          <w:tcPr>
            <w:tcW w:w="1271" w:type="dxa"/>
            <w:shd w:val="clear" w:color="auto" w:fill="17365D"/>
            <w:vAlign w:val="center"/>
          </w:tcPr>
          <w:p w14:paraId="64ADECCB" w14:textId="77777777" w:rsidR="00151AFC" w:rsidRDefault="00000000">
            <w:r>
              <w:rPr>
                <w:b/>
                <w:color w:val="FFFFFF"/>
                <w:sz w:val="16"/>
              </w:rPr>
              <w:t>Specificity</w:t>
            </w:r>
          </w:p>
        </w:tc>
        <w:tc>
          <w:tcPr>
            <w:tcW w:w="1271" w:type="dxa"/>
            <w:shd w:val="clear" w:color="auto" w:fill="17365D"/>
            <w:vAlign w:val="center"/>
          </w:tcPr>
          <w:p w14:paraId="7F6217FC" w14:textId="77777777" w:rsidR="00151AFC" w:rsidRDefault="00000000">
            <w:r>
              <w:rPr>
                <w:b/>
                <w:color w:val="FFFFFF"/>
                <w:sz w:val="16"/>
              </w:rPr>
              <w:t>Developability</w:t>
            </w:r>
          </w:p>
        </w:tc>
        <w:tc>
          <w:tcPr>
            <w:tcW w:w="1271" w:type="dxa"/>
            <w:shd w:val="clear" w:color="auto" w:fill="17365D"/>
            <w:vAlign w:val="center"/>
          </w:tcPr>
          <w:p w14:paraId="713F227E" w14:textId="77777777" w:rsidR="00151AFC" w:rsidRDefault="00000000">
            <w:r>
              <w:rPr>
                <w:b/>
                <w:color w:val="FFFFFF"/>
                <w:sz w:val="16"/>
              </w:rPr>
              <w:t>Confidence</w:t>
            </w:r>
          </w:p>
        </w:tc>
        <w:tc>
          <w:tcPr>
            <w:tcW w:w="1271" w:type="dxa"/>
            <w:shd w:val="clear" w:color="auto" w:fill="17365D"/>
            <w:vAlign w:val="center"/>
          </w:tcPr>
          <w:p w14:paraId="1E1B3708" w14:textId="77777777" w:rsidR="00151AFC" w:rsidRDefault="00000000">
            <w:r>
              <w:rPr>
                <w:b/>
                <w:color w:val="FFFFFF"/>
                <w:sz w:val="16"/>
              </w:rPr>
              <w:t>CAR suitability rank</w:t>
            </w:r>
          </w:p>
        </w:tc>
      </w:tr>
      <w:tr w:rsidR="00151AFC" w14:paraId="7B989242" w14:textId="77777777">
        <w:tblPrEx>
          <w:jc w:val="center"/>
        </w:tblPrEx>
        <w:trPr>
          <w:jc w:val="center"/>
        </w:trPr>
        <w:tc>
          <w:tcPr>
            <w:tcW w:w="1271" w:type="dxa"/>
            <w:vAlign w:val="center"/>
          </w:tcPr>
          <w:p w14:paraId="47DFC940" w14:textId="77777777" w:rsidR="00151AFC" w:rsidRDefault="00000000">
            <w:r>
              <w:rPr>
                <w:sz w:val="16"/>
              </w:rPr>
              <w:t>SS1</w:t>
            </w:r>
          </w:p>
        </w:tc>
        <w:tc>
          <w:tcPr>
            <w:tcW w:w="1271" w:type="dxa"/>
            <w:vAlign w:val="center"/>
          </w:tcPr>
          <w:p w14:paraId="6F3873FD" w14:textId="77777777" w:rsidR="00151AFC" w:rsidRDefault="00000000">
            <w:r>
              <w:rPr>
                <w:sz w:val="16"/>
              </w:rPr>
              <w:t>Algorithm output</w:t>
            </w:r>
          </w:p>
        </w:tc>
        <w:tc>
          <w:tcPr>
            <w:tcW w:w="1271" w:type="dxa"/>
            <w:vAlign w:val="center"/>
          </w:tcPr>
          <w:p w14:paraId="63C6A5A6" w14:textId="77777777" w:rsidR="00151AFC" w:rsidRDefault="00000000">
            <w:r>
              <w:rPr>
                <w:sz w:val="16"/>
              </w:rPr>
              <w:t>Algorithm output</w:t>
            </w:r>
          </w:p>
        </w:tc>
        <w:tc>
          <w:tcPr>
            <w:tcW w:w="1271" w:type="dxa"/>
            <w:vAlign w:val="center"/>
          </w:tcPr>
          <w:p w14:paraId="56CDAB25" w14:textId="77777777" w:rsidR="00151AFC" w:rsidRDefault="00000000">
            <w:r>
              <w:rPr>
                <w:sz w:val="16"/>
              </w:rPr>
              <w:t>Algorithm output</w:t>
            </w:r>
          </w:p>
        </w:tc>
        <w:tc>
          <w:tcPr>
            <w:tcW w:w="1271" w:type="dxa"/>
            <w:vAlign w:val="center"/>
          </w:tcPr>
          <w:p w14:paraId="2B2B7C1D" w14:textId="77777777" w:rsidR="00151AFC" w:rsidRDefault="00000000">
            <w:r>
              <w:rPr>
                <w:sz w:val="16"/>
              </w:rPr>
              <w:t>Algorithm output</w:t>
            </w:r>
          </w:p>
        </w:tc>
        <w:tc>
          <w:tcPr>
            <w:tcW w:w="1271" w:type="dxa"/>
            <w:vAlign w:val="center"/>
          </w:tcPr>
          <w:p w14:paraId="3E453DED" w14:textId="77777777" w:rsidR="00151AFC" w:rsidRDefault="00000000">
            <w:r>
              <w:rPr>
                <w:sz w:val="16"/>
              </w:rPr>
              <w:t>Algorithm output</w:t>
            </w:r>
          </w:p>
        </w:tc>
        <w:tc>
          <w:tcPr>
            <w:tcW w:w="1271" w:type="dxa"/>
            <w:vAlign w:val="center"/>
          </w:tcPr>
          <w:p w14:paraId="01657B54" w14:textId="77777777" w:rsidR="00151AFC" w:rsidRDefault="00000000">
            <w:r>
              <w:rPr>
                <w:sz w:val="16"/>
              </w:rPr>
              <w:t>Algorithm output</w:t>
            </w:r>
          </w:p>
        </w:tc>
        <w:tc>
          <w:tcPr>
            <w:tcW w:w="1271" w:type="dxa"/>
            <w:vAlign w:val="center"/>
          </w:tcPr>
          <w:p w14:paraId="2D38EAE8" w14:textId="77777777" w:rsidR="00151AFC" w:rsidRDefault="00000000">
            <w:r>
              <w:rPr>
                <w:sz w:val="16"/>
              </w:rPr>
              <w:t>Algorithm output</w:t>
            </w:r>
          </w:p>
        </w:tc>
      </w:tr>
      <w:tr w:rsidR="00151AFC" w14:paraId="2D629244" w14:textId="77777777">
        <w:tblPrEx>
          <w:jc w:val="center"/>
        </w:tblPrEx>
        <w:trPr>
          <w:jc w:val="center"/>
        </w:trPr>
        <w:tc>
          <w:tcPr>
            <w:tcW w:w="1271" w:type="dxa"/>
            <w:shd w:val="clear" w:color="auto" w:fill="F4F7FA"/>
            <w:vAlign w:val="center"/>
          </w:tcPr>
          <w:p w14:paraId="272FDA5D" w14:textId="77777777" w:rsidR="00151AFC" w:rsidRDefault="00000000">
            <w:r>
              <w:rPr>
                <w:sz w:val="16"/>
              </w:rPr>
              <w:t>M5</w:t>
            </w:r>
          </w:p>
        </w:tc>
        <w:tc>
          <w:tcPr>
            <w:tcW w:w="1271" w:type="dxa"/>
            <w:shd w:val="clear" w:color="auto" w:fill="F4F7FA"/>
            <w:vAlign w:val="center"/>
          </w:tcPr>
          <w:p w14:paraId="71D8DEB3" w14:textId="77777777" w:rsidR="00151AFC" w:rsidRDefault="00000000">
            <w:r>
              <w:rPr>
                <w:sz w:val="16"/>
              </w:rPr>
              <w:t>Algorithm output</w:t>
            </w:r>
          </w:p>
        </w:tc>
        <w:tc>
          <w:tcPr>
            <w:tcW w:w="1271" w:type="dxa"/>
            <w:shd w:val="clear" w:color="auto" w:fill="F4F7FA"/>
            <w:vAlign w:val="center"/>
          </w:tcPr>
          <w:p w14:paraId="27E46CB8" w14:textId="77777777" w:rsidR="00151AFC" w:rsidRDefault="00000000">
            <w:r>
              <w:rPr>
                <w:sz w:val="16"/>
              </w:rPr>
              <w:t>Algorithm output</w:t>
            </w:r>
          </w:p>
        </w:tc>
        <w:tc>
          <w:tcPr>
            <w:tcW w:w="1271" w:type="dxa"/>
            <w:shd w:val="clear" w:color="auto" w:fill="F4F7FA"/>
            <w:vAlign w:val="center"/>
          </w:tcPr>
          <w:p w14:paraId="012B93B5" w14:textId="77777777" w:rsidR="00151AFC" w:rsidRDefault="00000000">
            <w:r>
              <w:rPr>
                <w:sz w:val="16"/>
              </w:rPr>
              <w:t>Algorithm output</w:t>
            </w:r>
          </w:p>
        </w:tc>
        <w:tc>
          <w:tcPr>
            <w:tcW w:w="1271" w:type="dxa"/>
            <w:shd w:val="clear" w:color="auto" w:fill="F4F7FA"/>
            <w:vAlign w:val="center"/>
          </w:tcPr>
          <w:p w14:paraId="7FCE3774" w14:textId="77777777" w:rsidR="00151AFC" w:rsidRDefault="00000000">
            <w:r>
              <w:rPr>
                <w:sz w:val="16"/>
              </w:rPr>
              <w:t>Algorithm output</w:t>
            </w:r>
          </w:p>
        </w:tc>
        <w:tc>
          <w:tcPr>
            <w:tcW w:w="1271" w:type="dxa"/>
            <w:shd w:val="clear" w:color="auto" w:fill="F4F7FA"/>
            <w:vAlign w:val="center"/>
          </w:tcPr>
          <w:p w14:paraId="25325FE5" w14:textId="77777777" w:rsidR="00151AFC" w:rsidRDefault="00000000">
            <w:r>
              <w:rPr>
                <w:sz w:val="16"/>
              </w:rPr>
              <w:t>Algorithm output</w:t>
            </w:r>
          </w:p>
        </w:tc>
        <w:tc>
          <w:tcPr>
            <w:tcW w:w="1271" w:type="dxa"/>
            <w:shd w:val="clear" w:color="auto" w:fill="F4F7FA"/>
            <w:vAlign w:val="center"/>
          </w:tcPr>
          <w:p w14:paraId="189591DC" w14:textId="77777777" w:rsidR="00151AFC" w:rsidRDefault="00000000">
            <w:r>
              <w:rPr>
                <w:sz w:val="16"/>
              </w:rPr>
              <w:t>Algorithm output</w:t>
            </w:r>
          </w:p>
        </w:tc>
        <w:tc>
          <w:tcPr>
            <w:tcW w:w="1271" w:type="dxa"/>
            <w:shd w:val="clear" w:color="auto" w:fill="F4F7FA"/>
            <w:vAlign w:val="center"/>
          </w:tcPr>
          <w:p w14:paraId="3D096B35" w14:textId="77777777" w:rsidR="00151AFC" w:rsidRDefault="00000000">
            <w:r>
              <w:rPr>
                <w:sz w:val="16"/>
              </w:rPr>
              <w:t>Algorithm output</w:t>
            </w:r>
          </w:p>
        </w:tc>
      </w:tr>
      <w:tr w:rsidR="00151AFC" w14:paraId="1A49A337" w14:textId="77777777">
        <w:tblPrEx>
          <w:jc w:val="center"/>
        </w:tblPrEx>
        <w:trPr>
          <w:jc w:val="center"/>
        </w:trPr>
        <w:tc>
          <w:tcPr>
            <w:tcW w:w="1271" w:type="dxa"/>
            <w:vAlign w:val="center"/>
          </w:tcPr>
          <w:p w14:paraId="39921584" w14:textId="77777777" w:rsidR="00151AFC" w:rsidRDefault="00000000">
            <w:r>
              <w:rPr>
                <w:sz w:val="16"/>
              </w:rPr>
              <w:t>M11</w:t>
            </w:r>
          </w:p>
        </w:tc>
        <w:tc>
          <w:tcPr>
            <w:tcW w:w="1271" w:type="dxa"/>
            <w:vAlign w:val="center"/>
          </w:tcPr>
          <w:p w14:paraId="3450487D" w14:textId="77777777" w:rsidR="00151AFC" w:rsidRDefault="00000000">
            <w:r>
              <w:rPr>
                <w:sz w:val="16"/>
              </w:rPr>
              <w:t>Algorithm output</w:t>
            </w:r>
          </w:p>
        </w:tc>
        <w:tc>
          <w:tcPr>
            <w:tcW w:w="1271" w:type="dxa"/>
            <w:vAlign w:val="center"/>
          </w:tcPr>
          <w:p w14:paraId="06F9AD98" w14:textId="77777777" w:rsidR="00151AFC" w:rsidRDefault="00000000">
            <w:r>
              <w:rPr>
                <w:sz w:val="16"/>
              </w:rPr>
              <w:t>Algorithm output</w:t>
            </w:r>
          </w:p>
        </w:tc>
        <w:tc>
          <w:tcPr>
            <w:tcW w:w="1271" w:type="dxa"/>
            <w:vAlign w:val="center"/>
          </w:tcPr>
          <w:p w14:paraId="33854CF4" w14:textId="77777777" w:rsidR="00151AFC" w:rsidRDefault="00000000">
            <w:r>
              <w:rPr>
                <w:sz w:val="16"/>
              </w:rPr>
              <w:t>Algorithm output</w:t>
            </w:r>
          </w:p>
        </w:tc>
        <w:tc>
          <w:tcPr>
            <w:tcW w:w="1271" w:type="dxa"/>
            <w:vAlign w:val="center"/>
          </w:tcPr>
          <w:p w14:paraId="1BE5F0FA" w14:textId="77777777" w:rsidR="00151AFC" w:rsidRDefault="00000000">
            <w:r>
              <w:rPr>
                <w:sz w:val="16"/>
              </w:rPr>
              <w:t>Algorithm output</w:t>
            </w:r>
          </w:p>
        </w:tc>
        <w:tc>
          <w:tcPr>
            <w:tcW w:w="1271" w:type="dxa"/>
            <w:vAlign w:val="center"/>
          </w:tcPr>
          <w:p w14:paraId="5F5A7378" w14:textId="77777777" w:rsidR="00151AFC" w:rsidRDefault="00000000">
            <w:r>
              <w:rPr>
                <w:sz w:val="16"/>
              </w:rPr>
              <w:t>Algorithm output</w:t>
            </w:r>
          </w:p>
        </w:tc>
        <w:tc>
          <w:tcPr>
            <w:tcW w:w="1271" w:type="dxa"/>
            <w:vAlign w:val="center"/>
          </w:tcPr>
          <w:p w14:paraId="2C0CBBD4" w14:textId="77777777" w:rsidR="00151AFC" w:rsidRDefault="00000000">
            <w:r>
              <w:rPr>
                <w:sz w:val="16"/>
              </w:rPr>
              <w:t>Algorithm output</w:t>
            </w:r>
          </w:p>
        </w:tc>
        <w:tc>
          <w:tcPr>
            <w:tcW w:w="1271" w:type="dxa"/>
            <w:vAlign w:val="center"/>
          </w:tcPr>
          <w:p w14:paraId="7F8E89CE" w14:textId="77777777" w:rsidR="00151AFC" w:rsidRDefault="00000000">
            <w:r>
              <w:rPr>
                <w:sz w:val="16"/>
              </w:rPr>
              <w:t>Algorithm output</w:t>
            </w:r>
          </w:p>
        </w:tc>
      </w:tr>
      <w:tr w:rsidR="00151AFC" w14:paraId="00F87434" w14:textId="77777777">
        <w:tblPrEx>
          <w:jc w:val="center"/>
        </w:tblPrEx>
        <w:trPr>
          <w:jc w:val="center"/>
        </w:trPr>
        <w:tc>
          <w:tcPr>
            <w:tcW w:w="1271" w:type="dxa"/>
            <w:shd w:val="clear" w:color="auto" w:fill="F4F7FA"/>
            <w:vAlign w:val="center"/>
          </w:tcPr>
          <w:p w14:paraId="160746BB" w14:textId="77777777" w:rsidR="00151AFC" w:rsidRDefault="00000000">
            <w:r>
              <w:rPr>
                <w:sz w:val="16"/>
              </w:rPr>
              <w:t>15B6/h15B6</w:t>
            </w:r>
          </w:p>
        </w:tc>
        <w:tc>
          <w:tcPr>
            <w:tcW w:w="1271" w:type="dxa"/>
            <w:shd w:val="clear" w:color="auto" w:fill="F4F7FA"/>
            <w:vAlign w:val="center"/>
          </w:tcPr>
          <w:p w14:paraId="30312DEE" w14:textId="77777777" w:rsidR="00151AFC" w:rsidRDefault="00000000">
            <w:r>
              <w:rPr>
                <w:sz w:val="16"/>
              </w:rPr>
              <w:t>Algorithm output</w:t>
            </w:r>
          </w:p>
        </w:tc>
        <w:tc>
          <w:tcPr>
            <w:tcW w:w="1271" w:type="dxa"/>
            <w:shd w:val="clear" w:color="auto" w:fill="F4F7FA"/>
            <w:vAlign w:val="center"/>
          </w:tcPr>
          <w:p w14:paraId="69BBCD90" w14:textId="77777777" w:rsidR="00151AFC" w:rsidRDefault="00000000">
            <w:r>
              <w:rPr>
                <w:sz w:val="16"/>
              </w:rPr>
              <w:t>Algorithm output</w:t>
            </w:r>
          </w:p>
        </w:tc>
        <w:tc>
          <w:tcPr>
            <w:tcW w:w="1271" w:type="dxa"/>
            <w:shd w:val="clear" w:color="auto" w:fill="F4F7FA"/>
            <w:vAlign w:val="center"/>
          </w:tcPr>
          <w:p w14:paraId="64C9FFCD" w14:textId="77777777" w:rsidR="00151AFC" w:rsidRDefault="00000000">
            <w:r>
              <w:rPr>
                <w:sz w:val="16"/>
              </w:rPr>
              <w:t>Algorithm output</w:t>
            </w:r>
          </w:p>
        </w:tc>
        <w:tc>
          <w:tcPr>
            <w:tcW w:w="1271" w:type="dxa"/>
            <w:shd w:val="clear" w:color="auto" w:fill="F4F7FA"/>
            <w:vAlign w:val="center"/>
          </w:tcPr>
          <w:p w14:paraId="34674A4B" w14:textId="77777777" w:rsidR="00151AFC" w:rsidRDefault="00000000">
            <w:r>
              <w:rPr>
                <w:sz w:val="16"/>
              </w:rPr>
              <w:t>Algorithm output</w:t>
            </w:r>
          </w:p>
        </w:tc>
        <w:tc>
          <w:tcPr>
            <w:tcW w:w="1271" w:type="dxa"/>
            <w:shd w:val="clear" w:color="auto" w:fill="F4F7FA"/>
            <w:vAlign w:val="center"/>
          </w:tcPr>
          <w:p w14:paraId="7999EB85" w14:textId="77777777" w:rsidR="00151AFC" w:rsidRDefault="00000000">
            <w:r>
              <w:rPr>
                <w:sz w:val="16"/>
              </w:rPr>
              <w:t>Algorithm output</w:t>
            </w:r>
          </w:p>
        </w:tc>
        <w:tc>
          <w:tcPr>
            <w:tcW w:w="1271" w:type="dxa"/>
            <w:shd w:val="clear" w:color="auto" w:fill="F4F7FA"/>
            <w:vAlign w:val="center"/>
          </w:tcPr>
          <w:p w14:paraId="20ED4A13" w14:textId="77777777" w:rsidR="00151AFC" w:rsidRDefault="00000000">
            <w:r>
              <w:rPr>
                <w:sz w:val="16"/>
              </w:rPr>
              <w:t>Algorithm output</w:t>
            </w:r>
          </w:p>
        </w:tc>
        <w:tc>
          <w:tcPr>
            <w:tcW w:w="1271" w:type="dxa"/>
            <w:shd w:val="clear" w:color="auto" w:fill="F4F7FA"/>
            <w:vAlign w:val="center"/>
          </w:tcPr>
          <w:p w14:paraId="4A3F7F03" w14:textId="77777777" w:rsidR="00151AFC" w:rsidRDefault="00000000">
            <w:r>
              <w:rPr>
                <w:sz w:val="16"/>
              </w:rPr>
              <w:t>Algorithm output</w:t>
            </w:r>
          </w:p>
        </w:tc>
      </w:tr>
      <w:tr w:rsidR="00FA0519" w14:paraId="29654ECC" w14:textId="77777777">
        <w:tblPrEx>
          <w:jc w:val="center"/>
        </w:tblPrEx>
        <w:trPr>
          <w:jc w:val="center"/>
        </w:trPr>
        <w:tc>
          <w:tcPr>
            <w:tcW w:w="1271" w:type="dxa"/>
            <w:shd w:val="clear" w:color="auto" w:fill="F4F7FA"/>
            <w:vAlign w:val="center"/>
          </w:tcPr>
          <w:p w14:paraId="67A62835" w14:textId="77777777" w:rsidR="00FA0519" w:rsidRDefault="00FA0519">
            <w:pPr>
              <w:rPr>
                <w:rFonts w:eastAsia="맑은 고딕"/>
                <w:sz w:val="16"/>
                <w:lang w:eastAsia="ko-KR"/>
              </w:rPr>
            </w:pPr>
          </w:p>
          <w:p w14:paraId="708EE56B" w14:textId="77777777" w:rsidR="00FA0519" w:rsidRDefault="00FA0519">
            <w:pPr>
              <w:rPr>
                <w:rFonts w:eastAsia="맑은 고딕"/>
                <w:sz w:val="16"/>
                <w:lang w:eastAsia="ko-KR"/>
              </w:rPr>
            </w:pPr>
          </w:p>
          <w:p w14:paraId="7B26DFD3" w14:textId="77777777" w:rsidR="00FA0519" w:rsidRDefault="00FA0519">
            <w:pPr>
              <w:rPr>
                <w:rFonts w:eastAsia="맑은 고딕"/>
                <w:sz w:val="16"/>
                <w:lang w:eastAsia="ko-KR"/>
              </w:rPr>
            </w:pPr>
          </w:p>
          <w:p w14:paraId="7F2FEF72" w14:textId="77777777" w:rsidR="00FA0519" w:rsidRPr="00FA0519" w:rsidRDefault="00FA0519">
            <w:pPr>
              <w:rPr>
                <w:rFonts w:eastAsia="맑은 고딕" w:hint="eastAsia"/>
                <w:sz w:val="16"/>
                <w:lang w:eastAsia="ko-KR"/>
              </w:rPr>
            </w:pPr>
          </w:p>
        </w:tc>
        <w:tc>
          <w:tcPr>
            <w:tcW w:w="1271" w:type="dxa"/>
            <w:shd w:val="clear" w:color="auto" w:fill="F4F7FA"/>
            <w:vAlign w:val="center"/>
          </w:tcPr>
          <w:p w14:paraId="6D01E6AA" w14:textId="77777777" w:rsidR="00FA0519" w:rsidRDefault="00FA0519">
            <w:pPr>
              <w:rPr>
                <w:sz w:val="16"/>
              </w:rPr>
            </w:pPr>
          </w:p>
        </w:tc>
        <w:tc>
          <w:tcPr>
            <w:tcW w:w="1271" w:type="dxa"/>
            <w:shd w:val="clear" w:color="auto" w:fill="F4F7FA"/>
            <w:vAlign w:val="center"/>
          </w:tcPr>
          <w:p w14:paraId="7CFB0A81" w14:textId="77777777" w:rsidR="00FA0519" w:rsidRDefault="00FA0519">
            <w:pPr>
              <w:rPr>
                <w:sz w:val="16"/>
              </w:rPr>
            </w:pPr>
          </w:p>
        </w:tc>
        <w:tc>
          <w:tcPr>
            <w:tcW w:w="1271" w:type="dxa"/>
            <w:shd w:val="clear" w:color="auto" w:fill="F4F7FA"/>
            <w:vAlign w:val="center"/>
          </w:tcPr>
          <w:p w14:paraId="45CEF5B8" w14:textId="77777777" w:rsidR="00FA0519" w:rsidRDefault="00FA0519">
            <w:pPr>
              <w:rPr>
                <w:sz w:val="16"/>
              </w:rPr>
            </w:pPr>
          </w:p>
        </w:tc>
        <w:tc>
          <w:tcPr>
            <w:tcW w:w="1271" w:type="dxa"/>
            <w:shd w:val="clear" w:color="auto" w:fill="F4F7FA"/>
            <w:vAlign w:val="center"/>
          </w:tcPr>
          <w:p w14:paraId="2FB55B40" w14:textId="77777777" w:rsidR="00FA0519" w:rsidRDefault="00FA0519">
            <w:pPr>
              <w:rPr>
                <w:sz w:val="16"/>
              </w:rPr>
            </w:pPr>
          </w:p>
        </w:tc>
        <w:tc>
          <w:tcPr>
            <w:tcW w:w="1271" w:type="dxa"/>
            <w:shd w:val="clear" w:color="auto" w:fill="F4F7FA"/>
            <w:vAlign w:val="center"/>
          </w:tcPr>
          <w:p w14:paraId="5B7A840F" w14:textId="77777777" w:rsidR="00FA0519" w:rsidRDefault="00FA0519">
            <w:pPr>
              <w:rPr>
                <w:sz w:val="16"/>
              </w:rPr>
            </w:pPr>
          </w:p>
        </w:tc>
        <w:tc>
          <w:tcPr>
            <w:tcW w:w="1271" w:type="dxa"/>
            <w:shd w:val="clear" w:color="auto" w:fill="F4F7FA"/>
            <w:vAlign w:val="center"/>
          </w:tcPr>
          <w:p w14:paraId="06291D2D" w14:textId="77777777" w:rsidR="00FA0519" w:rsidRDefault="00FA0519">
            <w:pPr>
              <w:rPr>
                <w:sz w:val="16"/>
              </w:rPr>
            </w:pPr>
          </w:p>
        </w:tc>
        <w:tc>
          <w:tcPr>
            <w:tcW w:w="1271" w:type="dxa"/>
            <w:shd w:val="clear" w:color="auto" w:fill="F4F7FA"/>
            <w:vAlign w:val="center"/>
          </w:tcPr>
          <w:p w14:paraId="72510623" w14:textId="77777777" w:rsidR="00FA0519" w:rsidRDefault="00FA0519">
            <w:pPr>
              <w:rPr>
                <w:sz w:val="16"/>
              </w:rPr>
            </w:pPr>
          </w:p>
        </w:tc>
      </w:tr>
    </w:tbl>
    <w:p w14:paraId="568EA7C3" w14:textId="77777777" w:rsidR="00151AFC" w:rsidRDefault="00000000">
      <w:pPr>
        <w:pStyle w:val="Heading1"/>
      </w:pPr>
      <w:r>
        <w:lastRenderedPageBreak/>
        <w:t>7. Literature comparison report</w:t>
      </w:r>
    </w:p>
    <w:p w14:paraId="39C6B883" w14:textId="77777777" w:rsidR="00151AFC" w:rsidRDefault="00000000">
      <w:r>
        <w:t>Reveal the benchmark only after the blind algorithm run is frozen. Produce the following comparison table.</w:t>
      </w:r>
    </w:p>
    <w:tbl>
      <w:tblPr>
        <w:tblStyle w:val="TableGrid"/>
        <w:tblW w:w="0" w:type="auto"/>
        <w:jc w:val="center"/>
        <w:tblLook w:val="04A0" w:firstRow="1" w:lastRow="0" w:firstColumn="1" w:lastColumn="0" w:noHBand="0" w:noVBand="1"/>
      </w:tblPr>
      <w:tblGrid>
        <w:gridCol w:w="2031"/>
        <w:gridCol w:w="2031"/>
        <w:gridCol w:w="2033"/>
        <w:gridCol w:w="2031"/>
        <w:gridCol w:w="2030"/>
      </w:tblGrid>
      <w:tr w:rsidR="00151AFC" w14:paraId="16452045" w14:textId="77777777">
        <w:trPr>
          <w:jc w:val="center"/>
        </w:trPr>
        <w:tc>
          <w:tcPr>
            <w:tcW w:w="2033" w:type="dxa"/>
            <w:shd w:val="clear" w:color="auto" w:fill="17365D"/>
            <w:vAlign w:val="center"/>
          </w:tcPr>
          <w:p w14:paraId="17A14246" w14:textId="77777777" w:rsidR="00151AFC" w:rsidRDefault="00000000">
            <w:r>
              <w:rPr>
                <w:b/>
                <w:color w:val="FFFFFF"/>
                <w:sz w:val="16"/>
              </w:rPr>
              <w:t>Parameter</w:t>
            </w:r>
          </w:p>
        </w:tc>
        <w:tc>
          <w:tcPr>
            <w:tcW w:w="2033" w:type="dxa"/>
            <w:shd w:val="clear" w:color="auto" w:fill="17365D"/>
            <w:vAlign w:val="center"/>
          </w:tcPr>
          <w:p w14:paraId="20783240" w14:textId="77777777" w:rsidR="00151AFC" w:rsidRDefault="00000000">
            <w:r>
              <w:rPr>
                <w:b/>
                <w:color w:val="FFFFFF"/>
                <w:sz w:val="16"/>
              </w:rPr>
              <w:t>Wellmatix output</w:t>
            </w:r>
          </w:p>
        </w:tc>
        <w:tc>
          <w:tcPr>
            <w:tcW w:w="2033" w:type="dxa"/>
            <w:shd w:val="clear" w:color="auto" w:fill="17365D"/>
            <w:vAlign w:val="center"/>
          </w:tcPr>
          <w:p w14:paraId="3E2C8B48" w14:textId="77777777" w:rsidR="00151AFC" w:rsidRDefault="00000000">
            <w:r>
              <w:rPr>
                <w:b/>
                <w:color w:val="FFFFFF"/>
                <w:sz w:val="16"/>
              </w:rPr>
              <w:t>Literature benchmark</w:t>
            </w:r>
          </w:p>
        </w:tc>
        <w:tc>
          <w:tcPr>
            <w:tcW w:w="2033" w:type="dxa"/>
            <w:shd w:val="clear" w:color="auto" w:fill="17365D"/>
            <w:vAlign w:val="center"/>
          </w:tcPr>
          <w:p w14:paraId="4DE80E51" w14:textId="77777777" w:rsidR="00151AFC" w:rsidRDefault="00000000">
            <w:r>
              <w:rPr>
                <w:b/>
                <w:color w:val="FFFFFF"/>
                <w:sz w:val="16"/>
              </w:rPr>
              <w:t>Difference / agreement</w:t>
            </w:r>
          </w:p>
        </w:tc>
        <w:tc>
          <w:tcPr>
            <w:tcW w:w="2033" w:type="dxa"/>
            <w:shd w:val="clear" w:color="auto" w:fill="17365D"/>
            <w:vAlign w:val="center"/>
          </w:tcPr>
          <w:p w14:paraId="5A7A0600" w14:textId="77777777" w:rsidR="00151AFC" w:rsidRDefault="00000000">
            <w:r>
              <w:rPr>
                <w:b/>
                <w:color w:val="FFFFFF"/>
                <w:sz w:val="16"/>
              </w:rPr>
              <w:t>Pass / Fail / N.A.</w:t>
            </w:r>
          </w:p>
        </w:tc>
      </w:tr>
      <w:tr w:rsidR="00151AFC" w14:paraId="15613E8B" w14:textId="77777777">
        <w:trPr>
          <w:jc w:val="center"/>
        </w:trPr>
        <w:tc>
          <w:tcPr>
            <w:tcW w:w="2033" w:type="dxa"/>
            <w:vAlign w:val="center"/>
          </w:tcPr>
          <w:p w14:paraId="74F3AA9D" w14:textId="77777777" w:rsidR="00151AFC" w:rsidRDefault="00000000">
            <w:r>
              <w:rPr>
                <w:sz w:val="16"/>
              </w:rPr>
              <w:t>Known binder recovery</w:t>
            </w:r>
          </w:p>
        </w:tc>
        <w:tc>
          <w:tcPr>
            <w:tcW w:w="2033" w:type="dxa"/>
            <w:vAlign w:val="center"/>
          </w:tcPr>
          <w:p w14:paraId="42E5480A" w14:textId="77777777" w:rsidR="00151AFC" w:rsidRDefault="00151AFC"/>
        </w:tc>
        <w:tc>
          <w:tcPr>
            <w:tcW w:w="2033" w:type="dxa"/>
            <w:vAlign w:val="center"/>
          </w:tcPr>
          <w:p w14:paraId="71097CF9" w14:textId="77777777" w:rsidR="00151AFC" w:rsidRDefault="00000000">
            <w:r>
              <w:rPr>
                <w:sz w:val="16"/>
              </w:rPr>
              <w:t>SS1, M5, M11, 15B6/h15B6 where source coverage permits</w:t>
            </w:r>
          </w:p>
        </w:tc>
        <w:tc>
          <w:tcPr>
            <w:tcW w:w="2033" w:type="dxa"/>
            <w:vAlign w:val="center"/>
          </w:tcPr>
          <w:p w14:paraId="140C5864" w14:textId="77777777" w:rsidR="00151AFC" w:rsidRDefault="00151AFC"/>
        </w:tc>
        <w:tc>
          <w:tcPr>
            <w:tcW w:w="2033" w:type="dxa"/>
            <w:vAlign w:val="center"/>
          </w:tcPr>
          <w:p w14:paraId="38A7B897" w14:textId="77777777" w:rsidR="00151AFC" w:rsidRDefault="00151AFC"/>
        </w:tc>
      </w:tr>
      <w:tr w:rsidR="00151AFC" w14:paraId="4F30D214" w14:textId="77777777">
        <w:trPr>
          <w:jc w:val="center"/>
        </w:trPr>
        <w:tc>
          <w:tcPr>
            <w:tcW w:w="2033" w:type="dxa"/>
            <w:shd w:val="clear" w:color="auto" w:fill="F4F7FA"/>
            <w:vAlign w:val="center"/>
          </w:tcPr>
          <w:p w14:paraId="4EA90B20" w14:textId="77777777" w:rsidR="00151AFC" w:rsidRDefault="00000000">
            <w:r>
              <w:rPr>
                <w:sz w:val="16"/>
              </w:rPr>
              <w:t>Target match</w:t>
            </w:r>
          </w:p>
        </w:tc>
        <w:tc>
          <w:tcPr>
            <w:tcW w:w="2033" w:type="dxa"/>
            <w:shd w:val="clear" w:color="auto" w:fill="F4F7FA"/>
            <w:vAlign w:val="center"/>
          </w:tcPr>
          <w:p w14:paraId="461CA00B" w14:textId="77777777" w:rsidR="00151AFC" w:rsidRDefault="00151AFC"/>
        </w:tc>
        <w:tc>
          <w:tcPr>
            <w:tcW w:w="2033" w:type="dxa"/>
            <w:shd w:val="clear" w:color="auto" w:fill="F4F7FA"/>
            <w:vAlign w:val="center"/>
          </w:tcPr>
          <w:p w14:paraId="5334A288" w14:textId="77777777" w:rsidR="00151AFC" w:rsidRDefault="00000000">
            <w:r>
              <w:rPr>
                <w:sz w:val="16"/>
              </w:rPr>
              <w:t>MSLN-specific evidence</w:t>
            </w:r>
          </w:p>
        </w:tc>
        <w:tc>
          <w:tcPr>
            <w:tcW w:w="2033" w:type="dxa"/>
            <w:shd w:val="clear" w:color="auto" w:fill="F4F7FA"/>
            <w:vAlign w:val="center"/>
          </w:tcPr>
          <w:p w14:paraId="254C21C3" w14:textId="77777777" w:rsidR="00151AFC" w:rsidRDefault="00151AFC"/>
        </w:tc>
        <w:tc>
          <w:tcPr>
            <w:tcW w:w="2033" w:type="dxa"/>
            <w:shd w:val="clear" w:color="auto" w:fill="F4F7FA"/>
            <w:vAlign w:val="center"/>
          </w:tcPr>
          <w:p w14:paraId="74B7EDF5" w14:textId="77777777" w:rsidR="00151AFC" w:rsidRDefault="00151AFC"/>
        </w:tc>
      </w:tr>
      <w:tr w:rsidR="00151AFC" w14:paraId="7D523148" w14:textId="77777777">
        <w:trPr>
          <w:jc w:val="center"/>
        </w:trPr>
        <w:tc>
          <w:tcPr>
            <w:tcW w:w="2033" w:type="dxa"/>
            <w:vAlign w:val="center"/>
          </w:tcPr>
          <w:p w14:paraId="1EF82FB2" w14:textId="77777777" w:rsidR="00151AFC" w:rsidRDefault="00000000">
            <w:r>
              <w:rPr>
                <w:sz w:val="16"/>
              </w:rPr>
              <w:t>SS1 affinity</w:t>
            </w:r>
          </w:p>
        </w:tc>
        <w:tc>
          <w:tcPr>
            <w:tcW w:w="2033" w:type="dxa"/>
            <w:vAlign w:val="center"/>
          </w:tcPr>
          <w:p w14:paraId="324A7EC1" w14:textId="77777777" w:rsidR="00151AFC" w:rsidRDefault="00151AFC"/>
        </w:tc>
        <w:tc>
          <w:tcPr>
            <w:tcW w:w="2033" w:type="dxa"/>
            <w:vAlign w:val="center"/>
          </w:tcPr>
          <w:p w14:paraId="6EED89B4" w14:textId="77777777" w:rsidR="00151AFC" w:rsidRDefault="00000000">
            <w:r>
              <w:rPr>
                <w:sz w:val="16"/>
              </w:rPr>
              <w:t>Literature value(s) with assay/construct metadata</w:t>
            </w:r>
          </w:p>
        </w:tc>
        <w:tc>
          <w:tcPr>
            <w:tcW w:w="2033" w:type="dxa"/>
            <w:vAlign w:val="center"/>
          </w:tcPr>
          <w:p w14:paraId="29C8A532" w14:textId="77777777" w:rsidR="00151AFC" w:rsidRDefault="00151AFC"/>
        </w:tc>
        <w:tc>
          <w:tcPr>
            <w:tcW w:w="2033" w:type="dxa"/>
            <w:vAlign w:val="center"/>
          </w:tcPr>
          <w:p w14:paraId="11762ABC" w14:textId="77777777" w:rsidR="00151AFC" w:rsidRDefault="00151AFC"/>
        </w:tc>
      </w:tr>
      <w:tr w:rsidR="00151AFC" w14:paraId="048F6C14" w14:textId="77777777">
        <w:trPr>
          <w:jc w:val="center"/>
        </w:trPr>
        <w:tc>
          <w:tcPr>
            <w:tcW w:w="2033" w:type="dxa"/>
            <w:shd w:val="clear" w:color="auto" w:fill="F4F7FA"/>
            <w:vAlign w:val="center"/>
          </w:tcPr>
          <w:p w14:paraId="55397FD5" w14:textId="77777777" w:rsidR="00151AFC" w:rsidRDefault="00000000">
            <w:r>
              <w:rPr>
                <w:sz w:val="16"/>
              </w:rPr>
              <w:t>M5 affinity</w:t>
            </w:r>
          </w:p>
        </w:tc>
        <w:tc>
          <w:tcPr>
            <w:tcW w:w="2033" w:type="dxa"/>
            <w:shd w:val="clear" w:color="auto" w:fill="F4F7FA"/>
            <w:vAlign w:val="center"/>
          </w:tcPr>
          <w:p w14:paraId="19E9DEC8" w14:textId="77777777" w:rsidR="00151AFC" w:rsidRDefault="00151AFC"/>
        </w:tc>
        <w:tc>
          <w:tcPr>
            <w:tcW w:w="2033" w:type="dxa"/>
            <w:shd w:val="clear" w:color="auto" w:fill="F4F7FA"/>
            <w:vAlign w:val="center"/>
          </w:tcPr>
          <w:p w14:paraId="3C144E50" w14:textId="77777777" w:rsidR="00151AFC" w:rsidRDefault="00000000">
            <w:r>
              <w:rPr>
                <w:sz w:val="16"/>
              </w:rPr>
              <w:t>~26.9 nM in cited SPR comparison</w:t>
            </w:r>
          </w:p>
        </w:tc>
        <w:tc>
          <w:tcPr>
            <w:tcW w:w="2033" w:type="dxa"/>
            <w:shd w:val="clear" w:color="auto" w:fill="F4F7FA"/>
            <w:vAlign w:val="center"/>
          </w:tcPr>
          <w:p w14:paraId="720D1A9E" w14:textId="77777777" w:rsidR="00151AFC" w:rsidRDefault="00151AFC"/>
        </w:tc>
        <w:tc>
          <w:tcPr>
            <w:tcW w:w="2033" w:type="dxa"/>
            <w:shd w:val="clear" w:color="auto" w:fill="F4F7FA"/>
            <w:vAlign w:val="center"/>
          </w:tcPr>
          <w:p w14:paraId="7BC30B24" w14:textId="77777777" w:rsidR="00151AFC" w:rsidRDefault="00151AFC"/>
        </w:tc>
      </w:tr>
      <w:tr w:rsidR="00151AFC" w14:paraId="618AA63F" w14:textId="77777777">
        <w:trPr>
          <w:jc w:val="center"/>
        </w:trPr>
        <w:tc>
          <w:tcPr>
            <w:tcW w:w="2033" w:type="dxa"/>
            <w:vAlign w:val="center"/>
          </w:tcPr>
          <w:p w14:paraId="0D31E275" w14:textId="77777777" w:rsidR="00151AFC" w:rsidRDefault="00000000">
            <w:r>
              <w:rPr>
                <w:sz w:val="16"/>
              </w:rPr>
              <w:t>M11 affinity</w:t>
            </w:r>
          </w:p>
        </w:tc>
        <w:tc>
          <w:tcPr>
            <w:tcW w:w="2033" w:type="dxa"/>
            <w:vAlign w:val="center"/>
          </w:tcPr>
          <w:p w14:paraId="4DC955E7" w14:textId="77777777" w:rsidR="00151AFC" w:rsidRDefault="00151AFC"/>
        </w:tc>
        <w:tc>
          <w:tcPr>
            <w:tcW w:w="2033" w:type="dxa"/>
            <w:vAlign w:val="center"/>
          </w:tcPr>
          <w:p w14:paraId="3FF16FFC" w14:textId="77777777" w:rsidR="00151AFC" w:rsidRDefault="00000000">
            <w:r>
              <w:rPr>
                <w:sz w:val="16"/>
              </w:rPr>
              <w:t>~64.7 nM in cited SPR comparison</w:t>
            </w:r>
          </w:p>
        </w:tc>
        <w:tc>
          <w:tcPr>
            <w:tcW w:w="2033" w:type="dxa"/>
            <w:vAlign w:val="center"/>
          </w:tcPr>
          <w:p w14:paraId="2C61F40F" w14:textId="77777777" w:rsidR="00151AFC" w:rsidRDefault="00151AFC"/>
        </w:tc>
        <w:tc>
          <w:tcPr>
            <w:tcW w:w="2033" w:type="dxa"/>
            <w:vAlign w:val="center"/>
          </w:tcPr>
          <w:p w14:paraId="44DCB14D" w14:textId="77777777" w:rsidR="00151AFC" w:rsidRDefault="00151AFC"/>
        </w:tc>
      </w:tr>
      <w:tr w:rsidR="00151AFC" w14:paraId="33A976DB" w14:textId="77777777">
        <w:trPr>
          <w:jc w:val="center"/>
        </w:trPr>
        <w:tc>
          <w:tcPr>
            <w:tcW w:w="2033" w:type="dxa"/>
            <w:shd w:val="clear" w:color="auto" w:fill="F4F7FA"/>
            <w:vAlign w:val="center"/>
          </w:tcPr>
          <w:p w14:paraId="1F189F79" w14:textId="77777777" w:rsidR="00151AFC" w:rsidRDefault="00000000">
            <w:r>
              <w:rPr>
                <w:sz w:val="16"/>
              </w:rPr>
              <w:t>Affinity ordering</w:t>
            </w:r>
          </w:p>
        </w:tc>
        <w:tc>
          <w:tcPr>
            <w:tcW w:w="2033" w:type="dxa"/>
            <w:shd w:val="clear" w:color="auto" w:fill="F4F7FA"/>
            <w:vAlign w:val="center"/>
          </w:tcPr>
          <w:p w14:paraId="0EAA9D9B" w14:textId="77777777" w:rsidR="00151AFC" w:rsidRDefault="00151AFC"/>
        </w:tc>
        <w:tc>
          <w:tcPr>
            <w:tcW w:w="2033" w:type="dxa"/>
            <w:shd w:val="clear" w:color="auto" w:fill="F4F7FA"/>
            <w:vAlign w:val="center"/>
          </w:tcPr>
          <w:p w14:paraId="426D0313" w14:textId="77777777" w:rsidR="00151AFC" w:rsidRDefault="00000000">
            <w:r>
              <w:rPr>
                <w:sz w:val="16"/>
              </w:rPr>
              <w:t>Literature ordering from comparable assay</w:t>
            </w:r>
          </w:p>
        </w:tc>
        <w:tc>
          <w:tcPr>
            <w:tcW w:w="2033" w:type="dxa"/>
            <w:shd w:val="clear" w:color="auto" w:fill="F4F7FA"/>
            <w:vAlign w:val="center"/>
          </w:tcPr>
          <w:p w14:paraId="6B1BB97B" w14:textId="77777777" w:rsidR="00151AFC" w:rsidRDefault="00151AFC"/>
        </w:tc>
        <w:tc>
          <w:tcPr>
            <w:tcW w:w="2033" w:type="dxa"/>
            <w:shd w:val="clear" w:color="auto" w:fill="F4F7FA"/>
            <w:vAlign w:val="center"/>
          </w:tcPr>
          <w:p w14:paraId="21A78BC3" w14:textId="77777777" w:rsidR="00151AFC" w:rsidRDefault="00151AFC"/>
        </w:tc>
      </w:tr>
      <w:tr w:rsidR="00151AFC" w14:paraId="12B09E99" w14:textId="77777777">
        <w:trPr>
          <w:jc w:val="center"/>
        </w:trPr>
        <w:tc>
          <w:tcPr>
            <w:tcW w:w="2033" w:type="dxa"/>
            <w:vAlign w:val="center"/>
          </w:tcPr>
          <w:p w14:paraId="0741802F" w14:textId="77777777" w:rsidR="00151AFC" w:rsidRDefault="00000000">
            <w:r>
              <w:rPr>
                <w:sz w:val="16"/>
              </w:rPr>
              <w:t>15B6 epitope context</w:t>
            </w:r>
          </w:p>
        </w:tc>
        <w:tc>
          <w:tcPr>
            <w:tcW w:w="2033" w:type="dxa"/>
            <w:vAlign w:val="center"/>
          </w:tcPr>
          <w:p w14:paraId="76DF4FA1" w14:textId="77777777" w:rsidR="00151AFC" w:rsidRDefault="00151AFC"/>
        </w:tc>
        <w:tc>
          <w:tcPr>
            <w:tcW w:w="2033" w:type="dxa"/>
            <w:vAlign w:val="center"/>
          </w:tcPr>
          <w:p w14:paraId="6FFEDB68" w14:textId="77777777" w:rsidR="00151AFC" w:rsidRDefault="00000000">
            <w:r>
              <w:rPr>
                <w:sz w:val="16"/>
              </w:rPr>
              <w:t>Membrane-proximal / juxtamembrane evidence</w:t>
            </w:r>
          </w:p>
        </w:tc>
        <w:tc>
          <w:tcPr>
            <w:tcW w:w="2033" w:type="dxa"/>
            <w:vAlign w:val="center"/>
          </w:tcPr>
          <w:p w14:paraId="1F3411CE" w14:textId="77777777" w:rsidR="00151AFC" w:rsidRDefault="00151AFC"/>
        </w:tc>
        <w:tc>
          <w:tcPr>
            <w:tcW w:w="2033" w:type="dxa"/>
            <w:vAlign w:val="center"/>
          </w:tcPr>
          <w:p w14:paraId="2B9BCA67" w14:textId="77777777" w:rsidR="00151AFC" w:rsidRDefault="00151AFC"/>
        </w:tc>
      </w:tr>
      <w:tr w:rsidR="00151AFC" w14:paraId="5AD08796" w14:textId="77777777">
        <w:trPr>
          <w:jc w:val="center"/>
        </w:trPr>
        <w:tc>
          <w:tcPr>
            <w:tcW w:w="2033" w:type="dxa"/>
            <w:shd w:val="clear" w:color="auto" w:fill="F4F7FA"/>
            <w:vAlign w:val="center"/>
          </w:tcPr>
          <w:p w14:paraId="1CC10A82" w14:textId="77777777" w:rsidR="00151AFC" w:rsidRDefault="00000000">
            <w:r>
              <w:rPr>
                <w:sz w:val="16"/>
              </w:rPr>
              <w:t>Sequence annotation</w:t>
            </w:r>
          </w:p>
        </w:tc>
        <w:tc>
          <w:tcPr>
            <w:tcW w:w="2033" w:type="dxa"/>
            <w:shd w:val="clear" w:color="auto" w:fill="F4F7FA"/>
            <w:vAlign w:val="center"/>
          </w:tcPr>
          <w:p w14:paraId="34BCD62C" w14:textId="77777777" w:rsidR="00151AFC" w:rsidRDefault="00151AFC"/>
        </w:tc>
        <w:tc>
          <w:tcPr>
            <w:tcW w:w="2033" w:type="dxa"/>
            <w:shd w:val="clear" w:color="auto" w:fill="F4F7FA"/>
            <w:vAlign w:val="center"/>
          </w:tcPr>
          <w:p w14:paraId="4B71319F" w14:textId="77777777" w:rsidR="00151AFC" w:rsidRDefault="00000000">
            <w:r>
              <w:rPr>
                <w:sz w:val="16"/>
              </w:rPr>
              <w:t>Source-derived sequence reference where available</w:t>
            </w:r>
          </w:p>
        </w:tc>
        <w:tc>
          <w:tcPr>
            <w:tcW w:w="2033" w:type="dxa"/>
            <w:shd w:val="clear" w:color="auto" w:fill="F4F7FA"/>
            <w:vAlign w:val="center"/>
          </w:tcPr>
          <w:p w14:paraId="50898038" w14:textId="77777777" w:rsidR="00151AFC" w:rsidRDefault="00151AFC"/>
        </w:tc>
        <w:tc>
          <w:tcPr>
            <w:tcW w:w="2033" w:type="dxa"/>
            <w:shd w:val="clear" w:color="auto" w:fill="F4F7FA"/>
            <w:vAlign w:val="center"/>
          </w:tcPr>
          <w:p w14:paraId="4608CDEB" w14:textId="77777777" w:rsidR="00151AFC" w:rsidRDefault="00151AFC"/>
        </w:tc>
      </w:tr>
      <w:tr w:rsidR="00151AFC" w14:paraId="7CB4221C" w14:textId="77777777">
        <w:trPr>
          <w:jc w:val="center"/>
        </w:trPr>
        <w:tc>
          <w:tcPr>
            <w:tcW w:w="2033" w:type="dxa"/>
            <w:vAlign w:val="center"/>
          </w:tcPr>
          <w:p w14:paraId="0CEE6FD2" w14:textId="77777777" w:rsidR="00151AFC" w:rsidRDefault="00000000">
            <w:r>
              <w:rPr>
                <w:sz w:val="16"/>
              </w:rPr>
              <w:t>Developability</w:t>
            </w:r>
          </w:p>
        </w:tc>
        <w:tc>
          <w:tcPr>
            <w:tcW w:w="2033" w:type="dxa"/>
            <w:vAlign w:val="center"/>
          </w:tcPr>
          <w:p w14:paraId="3244751A" w14:textId="77777777" w:rsidR="00151AFC" w:rsidRDefault="00151AFC"/>
        </w:tc>
        <w:tc>
          <w:tcPr>
            <w:tcW w:w="2033" w:type="dxa"/>
            <w:vAlign w:val="center"/>
          </w:tcPr>
          <w:p w14:paraId="074D2790" w14:textId="77777777" w:rsidR="00151AFC" w:rsidRDefault="00000000">
            <w:r>
              <w:rPr>
                <w:sz w:val="16"/>
              </w:rPr>
              <w:t>Compare only where experimental/reference evidence exists</w:t>
            </w:r>
          </w:p>
        </w:tc>
        <w:tc>
          <w:tcPr>
            <w:tcW w:w="2033" w:type="dxa"/>
            <w:vAlign w:val="center"/>
          </w:tcPr>
          <w:p w14:paraId="35F36CDF" w14:textId="77777777" w:rsidR="00151AFC" w:rsidRDefault="00151AFC"/>
        </w:tc>
        <w:tc>
          <w:tcPr>
            <w:tcW w:w="2033" w:type="dxa"/>
            <w:vAlign w:val="center"/>
          </w:tcPr>
          <w:p w14:paraId="56A46B45" w14:textId="77777777" w:rsidR="00151AFC" w:rsidRDefault="00151AFC"/>
        </w:tc>
      </w:tr>
      <w:tr w:rsidR="00151AFC" w14:paraId="253052CE" w14:textId="77777777">
        <w:trPr>
          <w:jc w:val="center"/>
        </w:trPr>
        <w:tc>
          <w:tcPr>
            <w:tcW w:w="2033" w:type="dxa"/>
            <w:shd w:val="clear" w:color="auto" w:fill="F4F7FA"/>
            <w:vAlign w:val="center"/>
          </w:tcPr>
          <w:p w14:paraId="258D8987" w14:textId="77777777" w:rsidR="00151AFC" w:rsidRDefault="00000000">
            <w:r>
              <w:rPr>
                <w:sz w:val="16"/>
              </w:rPr>
              <w:t>CAR-suitability interpretation</w:t>
            </w:r>
          </w:p>
        </w:tc>
        <w:tc>
          <w:tcPr>
            <w:tcW w:w="2033" w:type="dxa"/>
            <w:shd w:val="clear" w:color="auto" w:fill="F4F7FA"/>
            <w:vAlign w:val="center"/>
          </w:tcPr>
          <w:p w14:paraId="41E1D589" w14:textId="77777777" w:rsidR="00151AFC" w:rsidRDefault="00151AFC"/>
        </w:tc>
        <w:tc>
          <w:tcPr>
            <w:tcW w:w="2033" w:type="dxa"/>
            <w:shd w:val="clear" w:color="auto" w:fill="F4F7FA"/>
            <w:vAlign w:val="center"/>
          </w:tcPr>
          <w:p w14:paraId="0FC9CC47" w14:textId="77777777" w:rsidR="00151AFC" w:rsidRDefault="00000000">
            <w:r>
              <w:rPr>
                <w:sz w:val="16"/>
              </w:rPr>
              <w:t>Affinity is not the sole determinant</w:t>
            </w:r>
          </w:p>
        </w:tc>
        <w:tc>
          <w:tcPr>
            <w:tcW w:w="2033" w:type="dxa"/>
            <w:shd w:val="clear" w:color="auto" w:fill="F4F7FA"/>
            <w:vAlign w:val="center"/>
          </w:tcPr>
          <w:p w14:paraId="4BAE7BA9" w14:textId="77777777" w:rsidR="00151AFC" w:rsidRDefault="00151AFC"/>
        </w:tc>
        <w:tc>
          <w:tcPr>
            <w:tcW w:w="2033" w:type="dxa"/>
            <w:shd w:val="clear" w:color="auto" w:fill="F4F7FA"/>
            <w:vAlign w:val="center"/>
          </w:tcPr>
          <w:p w14:paraId="7FCAE140" w14:textId="77777777" w:rsidR="00151AFC" w:rsidRDefault="00151AFC"/>
        </w:tc>
      </w:tr>
    </w:tbl>
    <w:p w14:paraId="49E57ABB" w14:textId="77777777" w:rsidR="00151AFC" w:rsidRDefault="00000000">
      <w:r>
        <w:t>Calculate Spearman rank correlation for comparable affinity rankings where enough binders have values from the same or sufficiently comparable experimental context. Do not mix incompatible assays without clearly flagging the limitation.</w:t>
      </w:r>
    </w:p>
    <w:p w14:paraId="03A2463B" w14:textId="77777777" w:rsidR="00151AFC" w:rsidRDefault="00000000">
      <w:pPr>
        <w:pStyle w:val="Heading1"/>
      </w:pPr>
      <w:r>
        <w:t>8. Required API endpoint</w:t>
      </w:r>
    </w:p>
    <w:p w14:paraId="036D074D" w14:textId="77777777" w:rsidR="00151AFC" w:rsidRDefault="00000000">
      <w:r>
        <w:t>Expose the benchmark as a repeatable regression test.</w:t>
      </w:r>
    </w:p>
    <w:tbl>
      <w:tblPr>
        <w:tblStyle w:val="TableGrid"/>
        <w:tblW w:w="0" w:type="auto"/>
        <w:tblLook w:val="04A0" w:firstRow="1" w:lastRow="0" w:firstColumn="1" w:lastColumn="0" w:noHBand="0" w:noVBand="1"/>
      </w:tblPr>
      <w:tblGrid>
        <w:gridCol w:w="10156"/>
      </w:tblGrid>
      <w:tr w:rsidR="00151AFC" w14:paraId="71CE6BD2" w14:textId="77777777">
        <w:tc>
          <w:tcPr>
            <w:tcW w:w="10166" w:type="dxa"/>
            <w:shd w:val="clear" w:color="auto" w:fill="F2F4F7"/>
          </w:tcPr>
          <w:p w14:paraId="08BDBB7D" w14:textId="77777777" w:rsidR="00151AFC" w:rsidRDefault="00000000">
            <w:r>
              <w:rPr>
                <w:rFonts w:ascii="Consolas" w:hAnsi="Consolas"/>
                <w:sz w:val="16"/>
              </w:rPr>
              <w:t>POST /v1/cart/binders/benchmark</w:t>
            </w:r>
            <w:r>
              <w:rPr>
                <w:rFonts w:ascii="Consolas" w:hAnsi="Consolas"/>
                <w:sz w:val="16"/>
              </w:rPr>
              <w:br/>
            </w:r>
            <w:r>
              <w:rPr>
                <w:rFonts w:ascii="Consolas" w:hAnsi="Consolas"/>
                <w:sz w:val="16"/>
              </w:rPr>
              <w:br/>
              <w:t>Request:</w:t>
            </w:r>
            <w:r>
              <w:rPr>
                <w:rFonts w:ascii="Consolas" w:hAnsi="Consolas"/>
                <w:sz w:val="16"/>
              </w:rPr>
              <w:br/>
              <w:t>{</w:t>
            </w:r>
            <w:r>
              <w:rPr>
                <w:rFonts w:ascii="Consolas" w:hAnsi="Consolas"/>
                <w:sz w:val="16"/>
              </w:rPr>
              <w:br/>
              <w:t xml:space="preserve">  "target": "MSLN",</w:t>
            </w:r>
            <w:r>
              <w:rPr>
                <w:rFonts w:ascii="Consolas" w:hAnsi="Consolas"/>
                <w:sz w:val="16"/>
              </w:rPr>
              <w:br/>
              <w:t xml:space="preserve">  "application": "CAR-T",</w:t>
            </w:r>
            <w:r>
              <w:rPr>
                <w:rFonts w:ascii="Consolas" w:hAnsi="Consolas"/>
                <w:sz w:val="16"/>
              </w:rPr>
              <w:br/>
              <w:t xml:space="preserve">  "benchmark_id": "MSLN-LITERATURE-001",</w:t>
            </w:r>
            <w:r>
              <w:rPr>
                <w:rFonts w:ascii="Consolas" w:hAnsi="Consolas"/>
                <w:sz w:val="16"/>
              </w:rPr>
              <w:br/>
              <w:t xml:space="preserve">  "blind_mode": true</w:t>
            </w:r>
            <w:r>
              <w:rPr>
                <w:rFonts w:ascii="Consolas" w:hAnsi="Consolas"/>
                <w:sz w:val="16"/>
              </w:rPr>
              <w:br/>
              <w:t>}</w:t>
            </w:r>
            <w:r>
              <w:rPr>
                <w:rFonts w:ascii="Consolas" w:hAnsi="Consolas"/>
                <w:sz w:val="16"/>
              </w:rPr>
              <w:br/>
            </w:r>
            <w:r>
              <w:rPr>
                <w:rFonts w:ascii="Consolas" w:hAnsi="Consolas"/>
                <w:sz w:val="16"/>
              </w:rPr>
              <w:br/>
              <w:t>Response:</w:t>
            </w:r>
            <w:r>
              <w:rPr>
                <w:rFonts w:ascii="Consolas" w:hAnsi="Consolas"/>
                <w:sz w:val="16"/>
              </w:rPr>
              <w:br/>
              <w:t>{</w:t>
            </w:r>
            <w:r>
              <w:rPr>
                <w:rFonts w:ascii="Consolas" w:hAnsi="Consolas"/>
                <w:sz w:val="16"/>
              </w:rPr>
              <w:br/>
              <w:t xml:space="preserve">  "target": "MSLN",</w:t>
            </w:r>
            <w:r>
              <w:rPr>
                <w:rFonts w:ascii="Consolas" w:hAnsi="Consolas"/>
                <w:sz w:val="16"/>
              </w:rPr>
              <w:br/>
              <w:t xml:space="preserve">  "retrieval": {</w:t>
            </w:r>
            <w:r>
              <w:rPr>
                <w:rFonts w:ascii="Consolas" w:hAnsi="Consolas"/>
                <w:sz w:val="16"/>
              </w:rPr>
              <w:br/>
              <w:t xml:space="preserve">    "known_binders_recovered": 0,</w:t>
            </w:r>
            <w:r>
              <w:rPr>
                <w:rFonts w:ascii="Consolas" w:hAnsi="Consolas"/>
                <w:sz w:val="16"/>
              </w:rPr>
              <w:br/>
              <w:t xml:space="preserve">    "total_binders_found": 0,</w:t>
            </w:r>
            <w:r>
              <w:rPr>
                <w:rFonts w:ascii="Consolas" w:hAnsi="Consolas"/>
                <w:sz w:val="16"/>
              </w:rPr>
              <w:br/>
              <w:t xml:space="preserve">    "source_coverage": []</w:t>
            </w:r>
            <w:r>
              <w:rPr>
                <w:rFonts w:ascii="Consolas" w:hAnsi="Consolas"/>
                <w:sz w:val="16"/>
              </w:rPr>
              <w:br/>
              <w:t xml:space="preserve">  },</w:t>
            </w:r>
            <w:r>
              <w:rPr>
                <w:rFonts w:ascii="Consolas" w:hAnsi="Consolas"/>
                <w:sz w:val="16"/>
              </w:rPr>
              <w:br/>
              <w:t xml:space="preserve">  "binders": [</w:t>
            </w:r>
            <w:r>
              <w:rPr>
                <w:rFonts w:ascii="Consolas" w:hAnsi="Consolas"/>
                <w:sz w:val="16"/>
              </w:rPr>
              <w:br/>
              <w:t xml:space="preserve">    {</w:t>
            </w:r>
            <w:r>
              <w:rPr>
                <w:rFonts w:ascii="Consolas" w:hAnsi="Consolas"/>
                <w:sz w:val="16"/>
              </w:rPr>
              <w:br/>
              <w:t xml:space="preserve">      "binder": "",</w:t>
            </w:r>
            <w:r>
              <w:rPr>
                <w:rFonts w:ascii="Consolas" w:hAnsi="Consolas"/>
                <w:sz w:val="16"/>
              </w:rPr>
              <w:br/>
              <w:t xml:space="preserve">      "target_match": "PASS | FAIL | UNKNOWN",</w:t>
            </w:r>
            <w:r>
              <w:rPr>
                <w:rFonts w:ascii="Consolas" w:hAnsi="Consolas"/>
                <w:sz w:val="16"/>
              </w:rPr>
              <w:br/>
              <w:t xml:space="preserve">      "origin": "RETRIEVED | OPTIMIZED_VARIANT | CPU_GENERATED_VARIANT",</w:t>
            </w:r>
            <w:r>
              <w:rPr>
                <w:rFonts w:ascii="Consolas" w:hAnsi="Consolas"/>
                <w:sz w:val="16"/>
              </w:rPr>
              <w:br/>
              <w:t xml:space="preserve">      "affinity": {</w:t>
            </w:r>
            <w:r>
              <w:rPr>
                <w:rFonts w:ascii="Consolas" w:hAnsi="Consolas"/>
                <w:sz w:val="16"/>
              </w:rPr>
              <w:br/>
              <w:t xml:space="preserve">        "value": null,</w:t>
            </w:r>
            <w:r>
              <w:rPr>
                <w:rFonts w:ascii="Consolas" w:hAnsi="Consolas"/>
                <w:sz w:val="16"/>
              </w:rPr>
              <w:br/>
              <w:t xml:space="preserve">        "unit": "nM",</w:t>
            </w:r>
            <w:r>
              <w:rPr>
                <w:rFonts w:ascii="Consolas" w:hAnsi="Consolas"/>
                <w:sz w:val="16"/>
              </w:rPr>
              <w:br/>
              <w:t xml:space="preserve">        "type": "PREDICTED | EXPERIMENTAL_RETRIEVED | UNKNOWN",</w:t>
            </w:r>
            <w:r>
              <w:rPr>
                <w:rFonts w:ascii="Consolas" w:hAnsi="Consolas"/>
                <w:sz w:val="16"/>
              </w:rPr>
              <w:br/>
              <w:t xml:space="preserve">        "confidence": null</w:t>
            </w:r>
            <w:r>
              <w:rPr>
                <w:rFonts w:ascii="Consolas" w:hAnsi="Consolas"/>
                <w:sz w:val="16"/>
              </w:rPr>
              <w:br/>
              <w:t xml:space="preserve">      },</w:t>
            </w:r>
            <w:r>
              <w:rPr>
                <w:rFonts w:ascii="Consolas" w:hAnsi="Consolas"/>
                <w:sz w:val="16"/>
              </w:rPr>
              <w:br/>
              <w:t xml:space="preserve">      "epitope": {</w:t>
            </w:r>
            <w:r>
              <w:rPr>
                <w:rFonts w:ascii="Consolas" w:hAnsi="Consolas"/>
                <w:sz w:val="16"/>
              </w:rPr>
              <w:br/>
              <w:t xml:space="preserve">        "location": null,</w:t>
            </w:r>
            <w:r>
              <w:rPr>
                <w:rFonts w:ascii="Consolas" w:hAnsi="Consolas"/>
                <w:sz w:val="16"/>
              </w:rPr>
              <w:br/>
              <w:t xml:space="preserve">        "membrane_proximity": null,</w:t>
            </w:r>
            <w:r>
              <w:rPr>
                <w:rFonts w:ascii="Consolas" w:hAnsi="Consolas"/>
                <w:sz w:val="16"/>
              </w:rPr>
              <w:br/>
              <w:t xml:space="preserve">        "confidence": null</w:t>
            </w:r>
            <w:r>
              <w:rPr>
                <w:rFonts w:ascii="Consolas" w:hAnsi="Consolas"/>
                <w:sz w:val="16"/>
              </w:rPr>
              <w:br/>
              <w:t xml:space="preserve">      },</w:t>
            </w:r>
            <w:r>
              <w:rPr>
                <w:rFonts w:ascii="Consolas" w:hAnsi="Consolas"/>
                <w:sz w:val="16"/>
              </w:rPr>
              <w:br/>
            </w:r>
            <w:r>
              <w:rPr>
                <w:rFonts w:ascii="Consolas" w:hAnsi="Consolas"/>
                <w:sz w:val="16"/>
              </w:rPr>
              <w:lastRenderedPageBreak/>
              <w:t xml:space="preserve">      "developability_score": null,</w:t>
            </w:r>
            <w:r>
              <w:rPr>
                <w:rFonts w:ascii="Consolas" w:hAnsi="Consolas"/>
                <w:sz w:val="16"/>
              </w:rPr>
              <w:br/>
              <w:t xml:space="preserve">      "specificity_score": null,</w:t>
            </w:r>
            <w:r>
              <w:rPr>
                <w:rFonts w:ascii="Consolas" w:hAnsi="Consolas"/>
                <w:sz w:val="16"/>
              </w:rPr>
              <w:br/>
              <w:t xml:space="preserve">      "binding_rank": null,</w:t>
            </w:r>
            <w:r>
              <w:rPr>
                <w:rFonts w:ascii="Consolas" w:hAnsi="Consolas"/>
                <w:sz w:val="16"/>
              </w:rPr>
              <w:br/>
              <w:t xml:space="preserve">      "car_suitability_rank": null</w:t>
            </w:r>
            <w:r>
              <w:rPr>
                <w:rFonts w:ascii="Consolas" w:hAnsi="Consolas"/>
                <w:sz w:val="16"/>
              </w:rPr>
              <w:br/>
              <w:t xml:space="preserve">    }</w:t>
            </w:r>
            <w:r>
              <w:rPr>
                <w:rFonts w:ascii="Consolas" w:hAnsi="Consolas"/>
                <w:sz w:val="16"/>
              </w:rPr>
              <w:br/>
              <w:t xml:space="preserve">  ],</w:t>
            </w:r>
            <w:r>
              <w:rPr>
                <w:rFonts w:ascii="Consolas" w:hAnsi="Consolas"/>
                <w:sz w:val="16"/>
              </w:rPr>
              <w:br/>
              <w:t xml:space="preserve">  "validation": {</w:t>
            </w:r>
            <w:r>
              <w:rPr>
                <w:rFonts w:ascii="Consolas" w:hAnsi="Consolas"/>
                <w:sz w:val="16"/>
              </w:rPr>
              <w:br/>
              <w:t xml:space="preserve">    "benchmark_revealed_after_prediction": true,</w:t>
            </w:r>
            <w:r>
              <w:rPr>
                <w:rFonts w:ascii="Consolas" w:hAnsi="Consolas"/>
                <w:sz w:val="16"/>
              </w:rPr>
              <w:br/>
              <w:t xml:space="preserve">    "binder_retrieval_recall": null,</w:t>
            </w:r>
            <w:r>
              <w:rPr>
                <w:rFonts w:ascii="Consolas" w:hAnsi="Consolas"/>
                <w:sz w:val="16"/>
              </w:rPr>
              <w:br/>
              <w:t xml:space="preserve">    "target_match_accuracy": null,</w:t>
            </w:r>
            <w:r>
              <w:rPr>
                <w:rFonts w:ascii="Consolas" w:hAnsi="Consolas"/>
                <w:sz w:val="16"/>
              </w:rPr>
              <w:br/>
              <w:t xml:space="preserve">    "affinity_rank_correlation": null</w:t>
            </w:r>
            <w:r>
              <w:rPr>
                <w:rFonts w:ascii="Consolas" w:hAnsi="Consolas"/>
                <w:sz w:val="16"/>
              </w:rPr>
              <w:br/>
              <w:t xml:space="preserve">  },</w:t>
            </w:r>
            <w:r>
              <w:rPr>
                <w:rFonts w:ascii="Consolas" w:hAnsi="Consolas"/>
                <w:sz w:val="16"/>
              </w:rPr>
              <w:br/>
              <w:t xml:space="preserve">  "audit_id": ""</w:t>
            </w:r>
            <w:r>
              <w:rPr>
                <w:rFonts w:ascii="Consolas" w:hAnsi="Consolas"/>
                <w:sz w:val="16"/>
              </w:rPr>
              <w:br/>
              <w:t>}</w:t>
            </w:r>
          </w:p>
        </w:tc>
      </w:tr>
    </w:tbl>
    <w:p w14:paraId="170B4716" w14:textId="77777777" w:rsidR="00151AFC" w:rsidRDefault="00000000">
      <w:pPr>
        <w:pStyle w:val="Heading1"/>
      </w:pPr>
      <w:r>
        <w:lastRenderedPageBreak/>
        <w:t>9. Acceptance criteria</w:t>
      </w:r>
    </w:p>
    <w:tbl>
      <w:tblPr>
        <w:tblStyle w:val="TableGrid"/>
        <w:tblW w:w="0" w:type="auto"/>
        <w:jc w:val="center"/>
        <w:tblLook w:val="04A0" w:firstRow="1" w:lastRow="0" w:firstColumn="1" w:lastColumn="0" w:noHBand="0" w:noVBand="1"/>
      </w:tblPr>
      <w:tblGrid>
        <w:gridCol w:w="5077"/>
        <w:gridCol w:w="5079"/>
      </w:tblGrid>
      <w:tr w:rsidR="00151AFC" w14:paraId="5851C4A7" w14:textId="77777777">
        <w:trPr>
          <w:jc w:val="center"/>
        </w:trPr>
        <w:tc>
          <w:tcPr>
            <w:tcW w:w="5083" w:type="dxa"/>
            <w:shd w:val="clear" w:color="auto" w:fill="17365D"/>
            <w:vAlign w:val="center"/>
          </w:tcPr>
          <w:p w14:paraId="26B2CAC5" w14:textId="77777777" w:rsidR="00151AFC" w:rsidRDefault="00000000">
            <w:r>
              <w:rPr>
                <w:b/>
                <w:color w:val="FFFFFF"/>
                <w:sz w:val="16"/>
              </w:rPr>
              <w:t>Validation layer</w:t>
            </w:r>
          </w:p>
        </w:tc>
        <w:tc>
          <w:tcPr>
            <w:tcW w:w="5083" w:type="dxa"/>
            <w:shd w:val="clear" w:color="auto" w:fill="17365D"/>
            <w:vAlign w:val="center"/>
          </w:tcPr>
          <w:p w14:paraId="3419AEC0" w14:textId="77777777" w:rsidR="00151AFC" w:rsidRDefault="00000000">
            <w:r>
              <w:rPr>
                <w:b/>
                <w:color w:val="FFFFFF"/>
                <w:sz w:val="16"/>
              </w:rPr>
              <w:t>Acceptance question</w:t>
            </w:r>
          </w:p>
        </w:tc>
      </w:tr>
      <w:tr w:rsidR="00151AFC" w14:paraId="34BA91BA" w14:textId="77777777">
        <w:trPr>
          <w:jc w:val="center"/>
        </w:trPr>
        <w:tc>
          <w:tcPr>
            <w:tcW w:w="5083" w:type="dxa"/>
            <w:vAlign w:val="center"/>
          </w:tcPr>
          <w:p w14:paraId="53F230C1" w14:textId="77777777" w:rsidR="00151AFC" w:rsidRDefault="00000000">
            <w:r>
              <w:rPr>
                <w:sz w:val="16"/>
              </w:rPr>
              <w:t>Retrieval</w:t>
            </w:r>
          </w:p>
        </w:tc>
        <w:tc>
          <w:tcPr>
            <w:tcW w:w="5083" w:type="dxa"/>
            <w:vAlign w:val="center"/>
          </w:tcPr>
          <w:p w14:paraId="0D454025" w14:textId="77777777" w:rsidR="00151AFC" w:rsidRDefault="00000000">
            <w:r>
              <w:rPr>
                <w:sz w:val="16"/>
              </w:rPr>
              <w:t>Did the system recover known MSLN binders available in the connected evidence sources?</w:t>
            </w:r>
          </w:p>
        </w:tc>
      </w:tr>
      <w:tr w:rsidR="00151AFC" w14:paraId="6C7CF115" w14:textId="77777777">
        <w:trPr>
          <w:jc w:val="center"/>
        </w:trPr>
        <w:tc>
          <w:tcPr>
            <w:tcW w:w="5083" w:type="dxa"/>
            <w:shd w:val="clear" w:color="auto" w:fill="F4F7FA"/>
            <w:vAlign w:val="center"/>
          </w:tcPr>
          <w:p w14:paraId="74754E94" w14:textId="77777777" w:rsidR="00151AFC" w:rsidRDefault="00000000">
            <w:r>
              <w:rPr>
                <w:sz w:val="16"/>
              </w:rPr>
              <w:t>Target match</w:t>
            </w:r>
          </w:p>
        </w:tc>
        <w:tc>
          <w:tcPr>
            <w:tcW w:w="5083" w:type="dxa"/>
            <w:shd w:val="clear" w:color="auto" w:fill="F4F7FA"/>
            <w:vAlign w:val="center"/>
          </w:tcPr>
          <w:p w14:paraId="535484F1" w14:textId="77777777" w:rsidR="00151AFC" w:rsidRDefault="00000000">
            <w:r>
              <w:rPr>
                <w:sz w:val="16"/>
              </w:rPr>
              <w:t>Did it correctly reject wrong-antigen/chaperone/tag records?</w:t>
            </w:r>
          </w:p>
        </w:tc>
      </w:tr>
      <w:tr w:rsidR="00151AFC" w14:paraId="3A9D83B5" w14:textId="77777777">
        <w:trPr>
          <w:jc w:val="center"/>
        </w:trPr>
        <w:tc>
          <w:tcPr>
            <w:tcW w:w="5083" w:type="dxa"/>
            <w:vAlign w:val="center"/>
          </w:tcPr>
          <w:p w14:paraId="1039A32D" w14:textId="77777777" w:rsidR="00151AFC" w:rsidRDefault="00000000">
            <w:r>
              <w:rPr>
                <w:sz w:val="16"/>
              </w:rPr>
              <w:t>Sequence</w:t>
            </w:r>
          </w:p>
        </w:tc>
        <w:tc>
          <w:tcPr>
            <w:tcW w:w="5083" w:type="dxa"/>
            <w:vAlign w:val="center"/>
          </w:tcPr>
          <w:p w14:paraId="0E35A23C" w14:textId="77777777" w:rsidR="00151AFC" w:rsidRDefault="00000000">
            <w:r>
              <w:rPr>
                <w:sz w:val="16"/>
              </w:rPr>
              <w:t>Did it preserve original sequence and correctly flag/clean supported artifacts?</w:t>
            </w:r>
          </w:p>
        </w:tc>
      </w:tr>
      <w:tr w:rsidR="00151AFC" w14:paraId="55A5FF7D" w14:textId="77777777">
        <w:trPr>
          <w:jc w:val="center"/>
        </w:trPr>
        <w:tc>
          <w:tcPr>
            <w:tcW w:w="5083" w:type="dxa"/>
            <w:shd w:val="clear" w:color="auto" w:fill="F4F7FA"/>
            <w:vAlign w:val="center"/>
          </w:tcPr>
          <w:p w14:paraId="47D27B2A" w14:textId="77777777" w:rsidR="00151AFC" w:rsidRDefault="00000000">
            <w:r>
              <w:rPr>
                <w:sz w:val="16"/>
              </w:rPr>
              <w:t>Affinity</w:t>
            </w:r>
          </w:p>
        </w:tc>
        <w:tc>
          <w:tcPr>
            <w:tcW w:w="5083" w:type="dxa"/>
            <w:shd w:val="clear" w:color="auto" w:fill="F4F7FA"/>
            <w:vAlign w:val="center"/>
          </w:tcPr>
          <w:p w14:paraId="70CBCDE0" w14:textId="77777777" w:rsidR="00151AFC" w:rsidRDefault="00000000">
            <w:r>
              <w:rPr>
                <w:sz w:val="16"/>
              </w:rPr>
              <w:t>Is the predicted/retrieved affinity directionally consistent with comparable experimental evidence?</w:t>
            </w:r>
          </w:p>
        </w:tc>
      </w:tr>
      <w:tr w:rsidR="00151AFC" w14:paraId="68D31C5F" w14:textId="77777777">
        <w:trPr>
          <w:jc w:val="center"/>
        </w:trPr>
        <w:tc>
          <w:tcPr>
            <w:tcW w:w="5083" w:type="dxa"/>
            <w:vAlign w:val="center"/>
          </w:tcPr>
          <w:p w14:paraId="5C4734A7" w14:textId="77777777" w:rsidR="00151AFC" w:rsidRDefault="00000000">
            <w:r>
              <w:rPr>
                <w:sz w:val="16"/>
              </w:rPr>
              <w:t>Ranking</w:t>
            </w:r>
          </w:p>
        </w:tc>
        <w:tc>
          <w:tcPr>
            <w:tcW w:w="5083" w:type="dxa"/>
            <w:vAlign w:val="center"/>
          </w:tcPr>
          <w:p w14:paraId="32BBC721" w14:textId="77777777" w:rsidR="00151AFC" w:rsidRDefault="00000000">
            <w:r>
              <w:rPr>
                <w:sz w:val="16"/>
              </w:rPr>
              <w:t>Does the platform reproduce the relative binder ordering where a comparable literature panel exists?</w:t>
            </w:r>
          </w:p>
        </w:tc>
      </w:tr>
      <w:tr w:rsidR="00151AFC" w14:paraId="00ED7CC0" w14:textId="77777777">
        <w:trPr>
          <w:jc w:val="center"/>
        </w:trPr>
        <w:tc>
          <w:tcPr>
            <w:tcW w:w="5083" w:type="dxa"/>
            <w:shd w:val="clear" w:color="auto" w:fill="F4F7FA"/>
            <w:vAlign w:val="center"/>
          </w:tcPr>
          <w:p w14:paraId="05F44B1F" w14:textId="77777777" w:rsidR="00151AFC" w:rsidRDefault="00000000">
            <w:r>
              <w:rPr>
                <w:sz w:val="16"/>
              </w:rPr>
              <w:t>Epitope</w:t>
            </w:r>
          </w:p>
        </w:tc>
        <w:tc>
          <w:tcPr>
            <w:tcW w:w="5083" w:type="dxa"/>
            <w:shd w:val="clear" w:color="auto" w:fill="F4F7FA"/>
            <w:vAlign w:val="center"/>
          </w:tcPr>
          <w:p w14:paraId="07F2993D" w14:textId="77777777" w:rsidR="00151AFC" w:rsidRDefault="00000000">
            <w:r>
              <w:rPr>
                <w:sz w:val="16"/>
              </w:rPr>
              <w:t>Does it distinguish epitope location and membrane-proximity evidence?</w:t>
            </w:r>
          </w:p>
        </w:tc>
      </w:tr>
      <w:tr w:rsidR="00151AFC" w14:paraId="4B2019E1" w14:textId="77777777">
        <w:trPr>
          <w:jc w:val="center"/>
        </w:trPr>
        <w:tc>
          <w:tcPr>
            <w:tcW w:w="5083" w:type="dxa"/>
            <w:vAlign w:val="center"/>
          </w:tcPr>
          <w:p w14:paraId="31D77F15" w14:textId="77777777" w:rsidR="00151AFC" w:rsidRDefault="00000000">
            <w:r>
              <w:rPr>
                <w:sz w:val="16"/>
              </w:rPr>
              <w:t>CAR context</w:t>
            </w:r>
          </w:p>
        </w:tc>
        <w:tc>
          <w:tcPr>
            <w:tcW w:w="5083" w:type="dxa"/>
            <w:vAlign w:val="center"/>
          </w:tcPr>
          <w:p w14:paraId="33331E59" w14:textId="77777777" w:rsidR="00151AFC" w:rsidRDefault="00000000">
            <w:r>
              <w:rPr>
                <w:sz w:val="16"/>
              </w:rPr>
              <w:t>Does it avoid equating highest affinity with best CAR binder?</w:t>
            </w:r>
          </w:p>
        </w:tc>
      </w:tr>
      <w:tr w:rsidR="00151AFC" w14:paraId="18A41C90" w14:textId="77777777">
        <w:trPr>
          <w:jc w:val="center"/>
        </w:trPr>
        <w:tc>
          <w:tcPr>
            <w:tcW w:w="5083" w:type="dxa"/>
            <w:shd w:val="clear" w:color="auto" w:fill="F4F7FA"/>
            <w:vAlign w:val="center"/>
          </w:tcPr>
          <w:p w14:paraId="298DB142" w14:textId="77777777" w:rsidR="00151AFC" w:rsidRDefault="00000000">
            <w:r>
              <w:rPr>
                <w:sz w:val="16"/>
              </w:rPr>
              <w:t>Confidence</w:t>
            </w:r>
          </w:p>
        </w:tc>
        <w:tc>
          <w:tcPr>
            <w:tcW w:w="5083" w:type="dxa"/>
            <w:shd w:val="clear" w:color="auto" w:fill="F4F7FA"/>
            <w:vAlign w:val="center"/>
          </w:tcPr>
          <w:p w14:paraId="3BD5EAF9" w14:textId="77777777" w:rsidR="00151AFC" w:rsidRDefault="00000000">
            <w:r>
              <w:rPr>
                <w:sz w:val="16"/>
              </w:rPr>
              <w:t>Does missing evidence lower confidence instead of being treated as favorable evidence?</w:t>
            </w:r>
          </w:p>
        </w:tc>
      </w:tr>
      <w:tr w:rsidR="00151AFC" w14:paraId="7207AE93" w14:textId="77777777">
        <w:trPr>
          <w:jc w:val="center"/>
        </w:trPr>
        <w:tc>
          <w:tcPr>
            <w:tcW w:w="5083" w:type="dxa"/>
            <w:vAlign w:val="center"/>
          </w:tcPr>
          <w:p w14:paraId="6AE88C70" w14:textId="77777777" w:rsidR="00151AFC" w:rsidRDefault="00000000">
            <w:r>
              <w:rPr>
                <w:sz w:val="16"/>
              </w:rPr>
              <w:t>Provenance</w:t>
            </w:r>
          </w:p>
        </w:tc>
        <w:tc>
          <w:tcPr>
            <w:tcW w:w="5083" w:type="dxa"/>
            <w:vAlign w:val="center"/>
          </w:tcPr>
          <w:p w14:paraId="76609381" w14:textId="77777777" w:rsidR="00151AFC" w:rsidRDefault="00000000">
            <w:r>
              <w:rPr>
                <w:sz w:val="16"/>
              </w:rPr>
              <w:t>Can every sequence, value, transformation and ranking decision be traced to source/model/data versions?</w:t>
            </w:r>
          </w:p>
        </w:tc>
      </w:tr>
    </w:tbl>
    <w:p w14:paraId="2BC14134" w14:textId="77777777" w:rsidR="00151AFC" w:rsidRDefault="00000000">
      <w:pPr>
        <w:pStyle w:val="Heading1"/>
      </w:pPr>
      <w:r>
        <w:t>10. What happens after this benchmark</w:t>
      </w:r>
    </w:p>
    <w:p w14:paraId="2FEF2ED9" w14:textId="77777777" w:rsidR="00151AFC" w:rsidRDefault="00000000">
      <w:r>
        <w:t>Once the MSLN benchmark is completed and the algorithm/weights are reviewed, freeze the binder-ranking version. Then run the same workflow prospectively on current targets for which the binder answer is less obvious, for example FER1L6, TMEM92, NPSR1 or TMEM154. The prospective output should then move to experimental validation rather than being tuned against a known answer.</w:t>
      </w:r>
    </w:p>
    <w:p w14:paraId="05E51533" w14:textId="77777777" w:rsidR="00151AFC" w:rsidRDefault="00000000">
      <w:r>
        <w:rPr>
          <w:b/>
        </w:rPr>
        <w:t xml:space="preserve">Engineering sequence: </w:t>
      </w:r>
      <w:r>
        <w:t>Known literature benchmark -&gt; validate -&gt; freeze model/weights -&gt; unknown target -&gt; discover/rank binders -&gt; construct generation -&gt; experimental validation -&gt; result ingestion -&gt; recalibration.</w:t>
      </w:r>
    </w:p>
    <w:sectPr w:rsidR="00151AF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82F75" w14:textId="77777777" w:rsidR="00A067CF" w:rsidRDefault="00A067CF">
      <w:pPr>
        <w:spacing w:after="0" w:line="240" w:lineRule="auto"/>
      </w:pPr>
      <w:r>
        <w:separator/>
      </w:r>
    </w:p>
  </w:endnote>
  <w:endnote w:type="continuationSeparator" w:id="0">
    <w:p w14:paraId="080D4043" w14:textId="77777777" w:rsidR="00A067CF" w:rsidRDefault="00A06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36D3" w14:textId="77777777" w:rsidR="00151AFC" w:rsidRDefault="00000000">
    <w:pPr>
      <w:pStyle w:val="Footer"/>
      <w:jc w:val="center"/>
    </w:pPr>
    <w:proofErr w:type="spellStart"/>
    <w:r>
      <w:rPr>
        <w:color w:val="808080"/>
        <w:sz w:val="16"/>
      </w:rPr>
      <w:t>Wellmatix</w:t>
    </w:r>
    <w:proofErr w:type="spellEnd"/>
    <w:r>
      <w:rPr>
        <w:color w:val="808080"/>
        <w:sz w:val="16"/>
      </w:rPr>
      <w:t xml:space="preserve"> | MSLN Binder Benchmark Validation | Engineering Direction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B1E27" w14:textId="77777777" w:rsidR="00A067CF" w:rsidRDefault="00A067CF">
      <w:pPr>
        <w:spacing w:after="0" w:line="240" w:lineRule="auto"/>
      </w:pPr>
      <w:r>
        <w:separator/>
      </w:r>
    </w:p>
  </w:footnote>
  <w:footnote w:type="continuationSeparator" w:id="0">
    <w:p w14:paraId="3D74503F" w14:textId="77777777" w:rsidR="00A067CF" w:rsidRDefault="00A06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144088">
    <w:abstractNumId w:val="8"/>
  </w:num>
  <w:num w:numId="2" w16cid:durableId="1528835796">
    <w:abstractNumId w:val="6"/>
  </w:num>
  <w:num w:numId="3" w16cid:durableId="749234996">
    <w:abstractNumId w:val="5"/>
  </w:num>
  <w:num w:numId="4" w16cid:durableId="912281735">
    <w:abstractNumId w:val="4"/>
  </w:num>
  <w:num w:numId="5" w16cid:durableId="2095973496">
    <w:abstractNumId w:val="7"/>
  </w:num>
  <w:num w:numId="6" w16cid:durableId="1604142104">
    <w:abstractNumId w:val="3"/>
  </w:num>
  <w:num w:numId="7" w16cid:durableId="1530991815">
    <w:abstractNumId w:val="2"/>
  </w:num>
  <w:num w:numId="8" w16cid:durableId="219637855">
    <w:abstractNumId w:val="1"/>
  </w:num>
  <w:num w:numId="9" w16cid:durableId="55774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AFC"/>
    <w:rsid w:val="0029639D"/>
    <w:rsid w:val="00326F90"/>
    <w:rsid w:val="00613EA7"/>
    <w:rsid w:val="00A067CF"/>
    <w:rsid w:val="00AA1D8D"/>
    <w:rsid w:val="00B47730"/>
    <w:rsid w:val="00CB0664"/>
    <w:rsid w:val="00FA0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CAB6A"/>
  <w14:defaultImageDpi w14:val="300"/>
  <w15:docId w15:val="{10692B81-2ABA-49A5-BA6D-359D00F6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Kang James</cp:lastModifiedBy>
  <cp:revision>2</cp:revision>
  <dcterms:created xsi:type="dcterms:W3CDTF">2026-09-06T02:52:00Z</dcterms:created>
  <dcterms:modified xsi:type="dcterms:W3CDTF">2026-09-06T02:52:00Z</dcterms:modified>
  <cp:category/>
</cp:coreProperties>
</file>