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Table 5.3.1. Genome-wide somatic variant burden across four MCF-7 conditions. Total variants, PASS-filtered counts, filter-class breakdown, coding consequence distribution, SIFT predictions, gnomAD novelty, and tumour mutational burden (TMB) are shown for each sample. Filter labels follow GATK / Mutect2 conventions; rows carrying multiple filter terms increment each matching filter column once, so column sums may exceed (Total − PASS).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WT untreated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WT + aphidicolin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B4 ZFP36L1⁻/⁻ untreated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B4 ZFP36L1⁻/⁻ + aphidicolin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 variants (VCF)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1,198,693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1,153,726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249,482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212,078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PASS variants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144,145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141,954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19,463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18,326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FILTER: germline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509,461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489,428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26,801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27,322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FILTER: panel_of_normals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FILTER: weak_evidence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173,415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174,906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96,761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85,782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FILTER: clustered_events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574,099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549,416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116,894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99,164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FILTER: other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583,633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554,734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211,385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169,234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Coding variants (total)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1,143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1,139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144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130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Missense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613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600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71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61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SIFT deleterious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213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197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SIFT tolerated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381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385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gnomAD novel (AF ≤ 0.001)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138,496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136,251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19,106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17,913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TMB (mut/Mb)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0.42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0.35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0.07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0.05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