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Table 5.3.1. Genome-wide somatic variant burden across four MCF-7 conditions. Total variants, PASS-filtered counts, filter-class breakdown, coding consequence distribution, SIFT predictions, gnomAD novelty, and tumour mutational burden (TMB) are shown for each sample. Filter labels follow GATK / Mutect2 conventions; rows carrying multiple filter terms increment each matching filter column once, so column sums may exceed (Total − PASS).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WT untreated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WT + aphidicolin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B4 ZFP36L1⁻/⁻ untreated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B4 ZFP36L1⁻/⁻ + aphidicolin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 variants (VCF)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1,198,693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1,153,726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249,482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212,078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PASS variants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144,145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141,954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19,463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18,326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FILTER: germline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509,461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489,428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26,801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27,322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FILTER: panel_of_normals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FILTER: weak_evidence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173,415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174,906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96,761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85,782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FILTER: clustered_events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574,099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549,416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116,894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99,164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FILTER: other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583,633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554,734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211,385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169,234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Coding variants (total)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1,143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1,139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144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130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Missense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613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600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71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61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Synonymous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334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44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40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Nonsense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Frameshift deletion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Frameshift insertion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In-frame deletion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In-frame insertion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Splice site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 xml:space="preserve">    Splice region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111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SIFT deleterious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197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SIFT tolerated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381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385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SIFT unknown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138,217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135,992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19,060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17,889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gnomAD known (AF &gt; 0.001)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323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37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gnomAD novel (AF ≤ 0.001)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138,496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136,251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19,106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17,913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TMB (mut/Mb)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0.42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0.35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0.07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0.05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Genes with ≥1 variant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21,080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20,972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6,738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6,334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Genes with coding variant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815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816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129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20"/>
              </w:rPr>
              <w:t>116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