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9D66" w14:textId="77777777" w:rsidR="00002DB6" w:rsidRPr="00042976" w:rsidRDefault="00002DB6" w:rsidP="00042976">
      <w:pPr>
        <w:shd w:val="clear" w:color="auto" w:fill="FDDB61"/>
        <w:jc w:val="both"/>
        <w:rPr>
          <w:rFonts w:ascii="Times New Roman" w:hAnsi="Times New Roman" w:cs="Times New Roman"/>
          <w:b/>
          <w:bCs/>
          <w:noProof/>
          <w:sz w:val="24"/>
          <w:szCs w:val="24"/>
        </w:rPr>
      </w:pPr>
      <w:r w:rsidRPr="00042976">
        <w:rPr>
          <w:rFonts w:ascii="Times New Roman" w:hAnsi="Times New Roman" w:cs="Times New Roman"/>
          <w:b/>
          <w:bCs/>
          <w:sz w:val="24"/>
          <w:szCs w:val="24"/>
        </w:rPr>
        <w:t xml:space="preserve">ROIDTrends: </w:t>
      </w:r>
      <w:r w:rsidRPr="00042976">
        <w:rPr>
          <w:rFonts w:ascii="Times New Roman" w:hAnsi="Times New Roman" w:cs="Times New Roman"/>
          <w:b/>
          <w:bCs/>
          <w:sz w:val="24"/>
          <w:szCs w:val="24"/>
          <w:u w:val="single"/>
        </w:rPr>
        <w:t>R</w:t>
      </w:r>
      <w:r w:rsidRPr="00042976">
        <w:rPr>
          <w:rFonts w:ascii="Times New Roman" w:hAnsi="Times New Roman" w:cs="Times New Roman"/>
          <w:b/>
          <w:bCs/>
          <w:sz w:val="24"/>
          <w:szCs w:val="24"/>
        </w:rPr>
        <w:t xml:space="preserve">eal-world </w:t>
      </w:r>
      <w:r w:rsidRPr="00042976">
        <w:rPr>
          <w:rFonts w:ascii="Times New Roman" w:hAnsi="Times New Roman" w:cs="Times New Roman"/>
          <w:b/>
          <w:bCs/>
          <w:sz w:val="24"/>
          <w:szCs w:val="24"/>
          <w:u w:val="single"/>
        </w:rPr>
        <w:t>O</w:t>
      </w:r>
      <w:r w:rsidRPr="00042976">
        <w:rPr>
          <w:rFonts w:ascii="Times New Roman" w:hAnsi="Times New Roman" w:cs="Times New Roman"/>
          <w:b/>
          <w:bCs/>
          <w:sz w:val="24"/>
          <w:szCs w:val="24"/>
        </w:rPr>
        <w:t xml:space="preserve">bservations of </w:t>
      </w:r>
      <w:r w:rsidRPr="00042976">
        <w:rPr>
          <w:rFonts w:ascii="Times New Roman" w:hAnsi="Times New Roman" w:cs="Times New Roman"/>
          <w:b/>
          <w:bCs/>
          <w:sz w:val="24"/>
          <w:szCs w:val="24"/>
          <w:u w:val="single"/>
        </w:rPr>
        <w:t>I</w:t>
      </w:r>
      <w:r w:rsidRPr="00042976">
        <w:rPr>
          <w:rFonts w:ascii="Times New Roman" w:hAnsi="Times New Roman" w:cs="Times New Roman"/>
          <w:b/>
          <w:bCs/>
          <w:sz w:val="24"/>
          <w:szCs w:val="24"/>
        </w:rPr>
        <w:t xml:space="preserve">mage &amp; performance enhancing </w:t>
      </w:r>
      <w:r w:rsidRPr="00042976">
        <w:rPr>
          <w:rFonts w:ascii="Times New Roman" w:hAnsi="Times New Roman" w:cs="Times New Roman"/>
          <w:b/>
          <w:bCs/>
          <w:sz w:val="24"/>
          <w:szCs w:val="24"/>
          <w:u w:val="single"/>
        </w:rPr>
        <w:t>D</w:t>
      </w:r>
      <w:r w:rsidRPr="00042976">
        <w:rPr>
          <w:rFonts w:ascii="Times New Roman" w:hAnsi="Times New Roman" w:cs="Times New Roman"/>
          <w:b/>
          <w:bCs/>
          <w:sz w:val="24"/>
          <w:szCs w:val="24"/>
        </w:rPr>
        <w:t xml:space="preserve">rug </w:t>
      </w:r>
      <w:r w:rsidRPr="00042976">
        <w:rPr>
          <w:rFonts w:ascii="Times New Roman" w:hAnsi="Times New Roman" w:cs="Times New Roman"/>
          <w:b/>
          <w:bCs/>
          <w:sz w:val="24"/>
          <w:szCs w:val="24"/>
          <w:u w:val="single"/>
        </w:rPr>
        <w:t>Trends</w:t>
      </w:r>
    </w:p>
    <w:p w14:paraId="0BB63E30" w14:textId="7B36D574" w:rsidR="00002DB6" w:rsidRDefault="00002DB6" w:rsidP="00002DB6">
      <w:pPr>
        <w:jc w:val="both"/>
        <w:rPr>
          <w:rFonts w:ascii="Times New Roman" w:hAnsi="Times New Roman" w:cs="Times New Roman"/>
          <w:sz w:val="24"/>
          <w:szCs w:val="24"/>
        </w:rPr>
      </w:pPr>
      <w:r w:rsidRPr="000763C7">
        <w:rPr>
          <w:rFonts w:ascii="Times New Roman" w:hAnsi="Times New Roman" w:cs="Times New Roman"/>
          <w:b/>
          <w:bCs/>
          <w:i/>
          <w:iCs/>
          <w:sz w:val="24"/>
          <w:szCs w:val="24"/>
          <w:u w:val="single"/>
        </w:rPr>
        <w:t>The Problem:</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Emerging and novel illicit </w:t>
      </w:r>
      <w:r w:rsidRPr="000D5E92">
        <w:rPr>
          <w:rFonts w:ascii="Times New Roman" w:hAnsi="Times New Roman" w:cs="Times New Roman"/>
          <w:sz w:val="24"/>
          <w:szCs w:val="24"/>
        </w:rPr>
        <w:t>markets for anabolic-androgenic steroids (AAS) and other image- and performance-enhancing drugs (IPEDs) represent a substantial and largely invisible public health issue</w:t>
      </w:r>
      <w:r>
        <w:rPr>
          <w:rFonts w:ascii="Times New Roman" w:hAnsi="Times New Roman" w:cs="Times New Roman"/>
          <w:sz w:val="24"/>
          <w:szCs w:val="24"/>
        </w:rPr>
        <w:t xml:space="preserve"> for Queenslanders</w:t>
      </w:r>
      <w:r w:rsidRPr="000D5E92">
        <w:rPr>
          <w:rFonts w:ascii="Times New Roman" w:hAnsi="Times New Roman" w:cs="Times New Roman"/>
          <w:sz w:val="24"/>
          <w:szCs w:val="24"/>
        </w:rPr>
        <w:t xml:space="preserve"> </w:t>
      </w:r>
      <w:r w:rsidRPr="000D5E92">
        <w:rPr>
          <w:rFonts w:ascii="Times New Roman" w:hAnsi="Times New Roman" w:cs="Times New Roman"/>
          <w:noProof/>
          <w:sz w:val="24"/>
          <w:szCs w:val="24"/>
        </w:rPr>
        <w:t>(1)</w:t>
      </w:r>
      <w:r w:rsidRPr="000D5E92">
        <w:rPr>
          <w:rFonts w:ascii="Times New Roman" w:hAnsi="Times New Roman" w:cs="Times New Roman"/>
          <w:sz w:val="24"/>
          <w:szCs w:val="24"/>
        </w:rPr>
        <w:t xml:space="preserve">. IPEDs are used by a diverse population for purposes including appearance enhancement, performance, recovery, and wellbeing </w:t>
      </w:r>
      <w:r w:rsidRPr="000D5E92">
        <w:rPr>
          <w:rFonts w:ascii="Times New Roman" w:hAnsi="Times New Roman" w:cs="Times New Roman"/>
          <w:noProof/>
          <w:sz w:val="24"/>
          <w:szCs w:val="24"/>
        </w:rPr>
        <w:t>(2)</w:t>
      </w:r>
      <w:r w:rsidRPr="000D5E92">
        <w:rPr>
          <w:rFonts w:ascii="Times New Roman" w:hAnsi="Times New Roman" w:cs="Times New Roman"/>
          <w:sz w:val="24"/>
          <w:szCs w:val="24"/>
        </w:rPr>
        <w:t xml:space="preserve">, yet these substances remain peripheral within mainstream alcohol and other drug (AOD) surveillance, harm reduction, and health service frameworks </w:t>
      </w:r>
      <w:r w:rsidRPr="000D5E92">
        <w:rPr>
          <w:rFonts w:ascii="Times New Roman" w:hAnsi="Times New Roman" w:cs="Times New Roman"/>
          <w:noProof/>
          <w:sz w:val="24"/>
          <w:szCs w:val="24"/>
        </w:rPr>
        <w:t>(3)</w:t>
      </w:r>
      <w:r w:rsidRPr="000D5E92">
        <w:rPr>
          <w:rFonts w:ascii="Times New Roman" w:hAnsi="Times New Roman" w:cs="Times New Roman"/>
          <w:sz w:val="24"/>
          <w:szCs w:val="24"/>
        </w:rPr>
        <w:t xml:space="preserve">. As a result, people who use </w:t>
      </w:r>
      <w:r>
        <w:rPr>
          <w:rFonts w:ascii="Times New Roman" w:hAnsi="Times New Roman" w:cs="Times New Roman"/>
          <w:sz w:val="24"/>
          <w:szCs w:val="24"/>
        </w:rPr>
        <w:t>IPEDs</w:t>
      </w:r>
      <w:r w:rsidRPr="000D5E92">
        <w:rPr>
          <w:rFonts w:ascii="Times New Roman" w:hAnsi="Times New Roman" w:cs="Times New Roman"/>
          <w:sz w:val="24"/>
          <w:szCs w:val="24"/>
        </w:rPr>
        <w:t xml:space="preserve"> navigate risk in the absence of reliable information about </w:t>
      </w:r>
      <w:r>
        <w:rPr>
          <w:rFonts w:ascii="Times New Roman" w:hAnsi="Times New Roman" w:cs="Times New Roman"/>
          <w:sz w:val="24"/>
          <w:szCs w:val="24"/>
        </w:rPr>
        <w:t>emerging risks</w:t>
      </w:r>
      <w:r w:rsidRPr="000D5E92">
        <w:rPr>
          <w:rFonts w:ascii="Times New Roman" w:hAnsi="Times New Roman" w:cs="Times New Roman"/>
          <w:sz w:val="24"/>
          <w:szCs w:val="24"/>
        </w:rPr>
        <w:t xml:space="preserve"> </w:t>
      </w:r>
      <w:r w:rsidRPr="000D5E92">
        <w:rPr>
          <w:rFonts w:ascii="Times New Roman" w:hAnsi="Times New Roman" w:cs="Times New Roman"/>
          <w:noProof/>
          <w:sz w:val="24"/>
          <w:szCs w:val="24"/>
        </w:rPr>
        <w:t>(4, 5)</w:t>
      </w:r>
      <w:r w:rsidRPr="000D5E92">
        <w:rPr>
          <w:rFonts w:ascii="Times New Roman" w:hAnsi="Times New Roman" w:cs="Times New Roman"/>
          <w:sz w:val="24"/>
          <w:szCs w:val="24"/>
        </w:rPr>
        <w:t>.</w:t>
      </w:r>
      <w:r w:rsidRPr="007E668A">
        <w:rPr>
          <w:rFonts w:ascii="Times New Roman" w:hAnsi="Times New Roman" w:cs="Times New Roman"/>
          <w:sz w:val="24"/>
          <w:szCs w:val="24"/>
        </w:rPr>
        <w:t xml:space="preserve"> </w:t>
      </w:r>
      <w:r>
        <w:rPr>
          <w:rFonts w:ascii="Times New Roman" w:hAnsi="Times New Roman" w:cs="Times New Roman"/>
          <w:sz w:val="24"/>
          <w:szCs w:val="24"/>
        </w:rPr>
        <w:t>Instead, they turn to</w:t>
      </w:r>
      <w:r w:rsidRPr="000D5E92">
        <w:rPr>
          <w:rFonts w:ascii="Times New Roman" w:hAnsi="Times New Roman" w:cs="Times New Roman"/>
          <w:sz w:val="24"/>
          <w:szCs w:val="24"/>
        </w:rPr>
        <w:t xml:space="preserve"> online forums or when making decisions, rather than </w:t>
      </w:r>
      <w:r>
        <w:rPr>
          <w:rFonts w:ascii="Times New Roman" w:hAnsi="Times New Roman" w:cs="Times New Roman"/>
          <w:sz w:val="24"/>
          <w:szCs w:val="24"/>
        </w:rPr>
        <w:t>community-partnered initiatives grounded in evidence</w:t>
      </w:r>
      <w:r w:rsidRPr="000D5E92">
        <w:rPr>
          <w:rFonts w:ascii="Times New Roman" w:hAnsi="Times New Roman" w:cs="Times New Roman"/>
          <w:sz w:val="24"/>
          <w:szCs w:val="24"/>
        </w:rPr>
        <w:t xml:space="preserve"> </w:t>
      </w:r>
      <w:r w:rsidRPr="000D5E92">
        <w:rPr>
          <w:rFonts w:ascii="Times New Roman" w:hAnsi="Times New Roman" w:cs="Times New Roman"/>
          <w:noProof/>
          <w:sz w:val="24"/>
          <w:szCs w:val="24"/>
        </w:rPr>
        <w:t>(10)</w:t>
      </w:r>
      <w:r w:rsidRPr="000D5E92">
        <w:rPr>
          <w:rFonts w:ascii="Times New Roman" w:hAnsi="Times New Roman" w:cs="Times New Roman"/>
          <w:sz w:val="24"/>
          <w:szCs w:val="24"/>
        </w:rPr>
        <w:t>.</w:t>
      </w:r>
      <w:r w:rsidR="00A50DC6">
        <w:rPr>
          <w:rFonts w:ascii="Times New Roman" w:hAnsi="Times New Roman" w:cs="Times New Roman"/>
          <w:sz w:val="24"/>
          <w:szCs w:val="24"/>
        </w:rPr>
        <w:t xml:space="preserve"> </w:t>
      </w:r>
      <w:r w:rsidRPr="000D5E92">
        <w:rPr>
          <w:rFonts w:ascii="Times New Roman" w:hAnsi="Times New Roman" w:cs="Times New Roman"/>
          <w:sz w:val="24"/>
          <w:szCs w:val="24"/>
        </w:rPr>
        <w:t xml:space="preserve">Drug checking has emerged globally as an effective harm reduction response to unregulated drug markets, supporting consumers to make more informed decisions and enabling early detection of emerging risks within the supply </w:t>
      </w:r>
      <w:r w:rsidRPr="000D5E92">
        <w:rPr>
          <w:rFonts w:ascii="Times New Roman" w:hAnsi="Times New Roman" w:cs="Times New Roman"/>
          <w:noProof/>
          <w:sz w:val="24"/>
          <w:szCs w:val="24"/>
        </w:rPr>
        <w:t>(11)</w:t>
      </w:r>
      <w:r w:rsidRPr="000D5E92">
        <w:rPr>
          <w:rFonts w:ascii="Times New Roman" w:hAnsi="Times New Roman" w:cs="Times New Roman"/>
          <w:sz w:val="24"/>
          <w:szCs w:val="24"/>
        </w:rPr>
        <w:t xml:space="preserve">. While drug checking services are increasingly embedded within responses to opioids, stimulants, and festival drug use, their application to IPEDs has lagged significantly </w:t>
      </w:r>
      <w:r w:rsidRPr="000D5E92">
        <w:rPr>
          <w:rFonts w:ascii="Times New Roman" w:hAnsi="Times New Roman" w:cs="Times New Roman"/>
          <w:noProof/>
          <w:sz w:val="24"/>
          <w:szCs w:val="24"/>
        </w:rPr>
        <w:t>(8, 9)</w:t>
      </w:r>
      <w:r w:rsidRPr="000D5E92">
        <w:rPr>
          <w:rFonts w:ascii="Times New Roman" w:hAnsi="Times New Roman" w:cs="Times New Roman"/>
          <w:sz w:val="24"/>
          <w:szCs w:val="24"/>
        </w:rPr>
        <w:t xml:space="preserve">. This gap reflects both structural stigma toward AAS use </w:t>
      </w:r>
      <w:r w:rsidRPr="000D5E92">
        <w:rPr>
          <w:rFonts w:ascii="Times New Roman" w:hAnsi="Times New Roman" w:cs="Times New Roman"/>
          <w:noProof/>
          <w:sz w:val="24"/>
          <w:szCs w:val="24"/>
        </w:rPr>
        <w:t>(12)</w:t>
      </w:r>
      <w:r w:rsidRPr="000D5E92">
        <w:rPr>
          <w:rFonts w:ascii="Times New Roman" w:hAnsi="Times New Roman" w:cs="Times New Roman"/>
          <w:sz w:val="24"/>
          <w:szCs w:val="24"/>
        </w:rPr>
        <w:t xml:space="preserve"> and the absence of scalable systems capable of capturing meaningful data from dispersed, community-based testing practices.</w:t>
      </w:r>
    </w:p>
    <w:p w14:paraId="697C7E9E" w14:textId="4906362D" w:rsidR="00002DB6" w:rsidRPr="000D5E92" w:rsidRDefault="00002DB6" w:rsidP="00042976">
      <w:pPr>
        <w:shd w:val="clear" w:color="auto" w:fill="FDDB61"/>
        <w:jc w:val="center"/>
        <w:rPr>
          <w:rFonts w:ascii="Times New Roman" w:hAnsi="Times New Roman" w:cs="Times New Roman"/>
          <w:sz w:val="24"/>
          <w:szCs w:val="24"/>
        </w:rPr>
      </w:pPr>
      <w:r w:rsidRPr="0004713F">
        <w:rPr>
          <w:rFonts w:ascii="Times New Roman" w:hAnsi="Times New Roman" w:cs="Times New Roman"/>
          <w:b/>
          <w:bCs/>
          <w:sz w:val="24"/>
          <w:szCs w:val="24"/>
        </w:rPr>
        <w:t>OUR VISION:</w:t>
      </w:r>
      <w:r>
        <w:rPr>
          <w:rFonts w:ascii="Times New Roman" w:hAnsi="Times New Roman" w:cs="Times New Roman"/>
          <w:sz w:val="24"/>
          <w:szCs w:val="24"/>
        </w:rPr>
        <w:t xml:space="preserve"> </w:t>
      </w:r>
      <w:r w:rsidRPr="0004713F">
        <w:rPr>
          <w:rFonts w:ascii="Times New Roman" w:hAnsi="Times New Roman" w:cs="Times New Roman"/>
          <w:sz w:val="24"/>
          <w:szCs w:val="24"/>
        </w:rPr>
        <w:t xml:space="preserve">To create a sustainable system using </w:t>
      </w:r>
      <w:r>
        <w:rPr>
          <w:rFonts w:ascii="Times New Roman" w:hAnsi="Times New Roman" w:cs="Times New Roman"/>
          <w:sz w:val="24"/>
          <w:szCs w:val="24"/>
        </w:rPr>
        <w:t>community</w:t>
      </w:r>
      <w:r w:rsidRPr="0004713F">
        <w:rPr>
          <w:rFonts w:ascii="Times New Roman" w:hAnsi="Times New Roman" w:cs="Times New Roman"/>
          <w:sz w:val="24"/>
          <w:szCs w:val="24"/>
        </w:rPr>
        <w:t xml:space="preserve"> data to inform harm reduction, services, and public health policy.</w:t>
      </w:r>
    </w:p>
    <w:p w14:paraId="6E2647D7" w14:textId="6D0B8AA9" w:rsidR="00A50DC6" w:rsidRDefault="00002DB6" w:rsidP="00A50DC6">
      <w:pPr>
        <w:spacing w:line="240" w:lineRule="auto"/>
        <w:jc w:val="both"/>
        <w:rPr>
          <w:rFonts w:ascii="Times New Roman" w:hAnsi="Times New Roman" w:cs="Times New Roman"/>
          <w:sz w:val="24"/>
          <w:szCs w:val="24"/>
        </w:rPr>
      </w:pPr>
      <w:r w:rsidRPr="000763C7">
        <w:rPr>
          <w:rFonts w:ascii="Times New Roman" w:hAnsi="Times New Roman" w:cs="Times New Roman"/>
          <w:b/>
          <w:bCs/>
          <w:i/>
          <w:iCs/>
          <w:sz w:val="24"/>
          <w:szCs w:val="24"/>
          <w:u w:val="single"/>
        </w:rPr>
        <w:t xml:space="preserve">The Critical Gap: </w:t>
      </w:r>
      <w:r>
        <w:rPr>
          <w:rFonts w:ascii="Times New Roman" w:hAnsi="Times New Roman" w:cs="Times New Roman"/>
          <w:b/>
          <w:bCs/>
          <w:i/>
          <w:iCs/>
          <w:sz w:val="24"/>
          <w:szCs w:val="24"/>
          <w:u w:val="single"/>
        </w:rPr>
        <w:t xml:space="preserve"> </w:t>
      </w:r>
      <w:r w:rsidRPr="000D5E92">
        <w:rPr>
          <w:rFonts w:ascii="Times New Roman" w:hAnsi="Times New Roman" w:cs="Times New Roman"/>
          <w:sz w:val="24"/>
          <w:szCs w:val="24"/>
        </w:rPr>
        <w:t xml:space="preserve">In Australia, </w:t>
      </w:r>
      <w:hyperlink r:id="rId5" w:history="1">
        <w:r w:rsidRPr="000D5E92">
          <w:rPr>
            <w:rStyle w:val="Hyperlink"/>
            <w:rFonts w:ascii="Times New Roman" w:hAnsi="Times New Roman" w:cs="Times New Roman"/>
            <w:sz w:val="24"/>
            <w:szCs w:val="24"/>
          </w:rPr>
          <w:t>PEDTest</w:t>
        </w:r>
      </w:hyperlink>
      <w:r w:rsidRPr="000D5E92">
        <w:rPr>
          <w:rFonts w:ascii="Times New Roman" w:hAnsi="Times New Roman" w:cs="Times New Roman"/>
          <w:sz w:val="24"/>
          <w:szCs w:val="24"/>
        </w:rPr>
        <w:t xml:space="preserve"> is the only dedicated IPED checking service, allowing community members to use reagent-based testing kits and submit results to a centralised database </w:t>
      </w:r>
      <w:r w:rsidRPr="000D5E92">
        <w:rPr>
          <w:rFonts w:ascii="Times New Roman" w:hAnsi="Times New Roman" w:cs="Times New Roman"/>
          <w:noProof/>
          <w:sz w:val="24"/>
          <w:szCs w:val="24"/>
        </w:rPr>
        <w:t>(13)</w:t>
      </w:r>
      <w:r w:rsidRPr="000D5E92">
        <w:rPr>
          <w:rFonts w:ascii="Times New Roman" w:hAnsi="Times New Roman" w:cs="Times New Roman"/>
          <w:sz w:val="24"/>
          <w:szCs w:val="24"/>
        </w:rPr>
        <w:t xml:space="preserve">. These submissions generate a unique and growing dataset reflecting substances actively circulating within unregulated IPED markets. However, without systematic aggregation and accompanying </w:t>
      </w:r>
      <w:r>
        <w:rPr>
          <w:rFonts w:ascii="Times New Roman" w:hAnsi="Times New Roman" w:cs="Times New Roman"/>
          <w:sz w:val="24"/>
          <w:szCs w:val="24"/>
        </w:rPr>
        <w:t>person-level</w:t>
      </w:r>
      <w:r w:rsidRPr="000D5E92">
        <w:rPr>
          <w:rFonts w:ascii="Times New Roman" w:hAnsi="Times New Roman" w:cs="Times New Roman"/>
          <w:sz w:val="24"/>
          <w:szCs w:val="24"/>
        </w:rPr>
        <w:t xml:space="preserve"> data, the broader public health value of these reports remains underutilised.</w:t>
      </w:r>
      <w:r w:rsidRPr="007E668A">
        <w:rPr>
          <w:rFonts w:ascii="Times New Roman" w:hAnsi="Times New Roman" w:cs="Times New Roman"/>
          <w:sz w:val="24"/>
          <w:szCs w:val="24"/>
        </w:rPr>
        <w:t xml:space="preserve"> </w:t>
      </w:r>
      <w:r w:rsidRPr="000D5E92">
        <w:rPr>
          <w:rFonts w:ascii="Times New Roman" w:hAnsi="Times New Roman" w:cs="Times New Roman"/>
          <w:sz w:val="24"/>
          <w:szCs w:val="24"/>
        </w:rPr>
        <w:t xml:space="preserve">Despite the promise of this model, there remains limited empirical analysis of these community-generated data </w:t>
      </w:r>
      <w:r w:rsidRPr="000D5E92">
        <w:rPr>
          <w:rFonts w:ascii="Times New Roman" w:hAnsi="Times New Roman" w:cs="Times New Roman"/>
          <w:noProof/>
          <w:sz w:val="24"/>
          <w:szCs w:val="24"/>
        </w:rPr>
        <w:t>(13)</w:t>
      </w:r>
      <w:r w:rsidRPr="000D5E92">
        <w:rPr>
          <w:rFonts w:ascii="Times New Roman" w:hAnsi="Times New Roman" w:cs="Times New Roman"/>
          <w:sz w:val="24"/>
          <w:szCs w:val="24"/>
        </w:rPr>
        <w:t xml:space="preserve">, particularly in relation to differences in product legitimacy across formulations and their implications for harm reduction. Understanding these patterns is critical for informing targeted responses, refining IPED checking interventions </w:t>
      </w:r>
      <w:r w:rsidRPr="000D5E92">
        <w:rPr>
          <w:rFonts w:ascii="Times New Roman" w:hAnsi="Times New Roman" w:cs="Times New Roman"/>
          <w:noProof/>
          <w:sz w:val="24"/>
          <w:szCs w:val="24"/>
        </w:rPr>
        <w:t>(14)</w:t>
      </w:r>
      <w:r w:rsidRPr="000D5E92">
        <w:rPr>
          <w:rFonts w:ascii="Times New Roman" w:hAnsi="Times New Roman" w:cs="Times New Roman"/>
          <w:sz w:val="24"/>
          <w:szCs w:val="24"/>
        </w:rPr>
        <w:t>, and strengthening the evidence base for public health strategies which are contextually appropriate for IPEDs.</w:t>
      </w:r>
      <w:r>
        <w:rPr>
          <w:rFonts w:ascii="Times New Roman" w:hAnsi="Times New Roman" w:cs="Times New Roman"/>
          <w:sz w:val="24"/>
          <w:szCs w:val="24"/>
        </w:rPr>
        <w:t xml:space="preserve"> </w:t>
      </w:r>
    </w:p>
    <w:p w14:paraId="6AEE54A0" w14:textId="52E1DCCB" w:rsidR="00A50DC6" w:rsidRPr="000D5E92" w:rsidRDefault="00A50DC6" w:rsidP="00A50DC6">
      <w:pPr>
        <w:spacing w:line="240" w:lineRule="auto"/>
        <w:jc w:val="both"/>
        <w:rPr>
          <w:rFonts w:ascii="Times New Roman" w:hAnsi="Times New Roman" w:cs="Times New Roman"/>
          <w:sz w:val="24"/>
          <w:szCs w:val="24"/>
        </w:rPr>
      </w:pPr>
      <w:r w:rsidRPr="007E668A">
        <w:rPr>
          <w:rFonts w:ascii="Times New Roman" w:hAnsi="Times New Roman" w:cs="Times New Roman"/>
          <w:b/>
          <w:bCs/>
          <w:i/>
          <w:iCs/>
          <w:noProof/>
          <w:sz w:val="24"/>
          <w:szCs w:val="24"/>
          <w:u w:val="single"/>
        </w:rPr>
        <w:drawing>
          <wp:anchor distT="0" distB="0" distL="114300" distR="114300" simplePos="0" relativeHeight="251659264" behindDoc="1" locked="0" layoutInCell="1" allowOverlap="1" wp14:anchorId="05BB01B9" wp14:editId="31A84CDE">
            <wp:simplePos x="0" y="0"/>
            <wp:positionH relativeFrom="margin">
              <wp:posOffset>2797810</wp:posOffset>
            </wp:positionH>
            <wp:positionV relativeFrom="paragraph">
              <wp:posOffset>9525</wp:posOffset>
            </wp:positionV>
            <wp:extent cx="3000375" cy="784860"/>
            <wp:effectExtent l="0" t="0" r="9525" b="0"/>
            <wp:wrapTight wrapText="bothSides">
              <wp:wrapPolygon edited="0">
                <wp:start x="0" y="0"/>
                <wp:lineTo x="0" y="20971"/>
                <wp:lineTo x="21531" y="20971"/>
                <wp:lineTo x="21531" y="0"/>
                <wp:lineTo x="0" y="0"/>
              </wp:wrapPolygon>
            </wp:wrapTight>
            <wp:docPr id="1513164268"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4268" name="Picture 2" descr="A yellow and purple logo&#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07" t="20193" r="22225" b="57371"/>
                    <a:stretch>
                      <a:fillRect/>
                    </a:stretch>
                  </pic:blipFill>
                  <pic:spPr bwMode="auto">
                    <a:xfrm>
                      <a:off x="0" y="0"/>
                      <a:ext cx="3000375" cy="784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2DB6" w:rsidRPr="000D5E92">
        <w:rPr>
          <w:rFonts w:ascii="Times New Roman" w:hAnsi="Times New Roman" w:cs="Times New Roman"/>
          <w:b/>
          <w:bCs/>
          <w:i/>
          <w:iCs/>
          <w:sz w:val="24"/>
          <w:szCs w:val="24"/>
          <w:u w:val="single"/>
        </w:rPr>
        <w:t>The Solution:</w:t>
      </w:r>
      <w:r w:rsidR="00002DB6" w:rsidRPr="000D5E92">
        <w:rPr>
          <w:rFonts w:ascii="Times New Roman" w:hAnsi="Times New Roman" w:cs="Times New Roman"/>
          <w:sz w:val="24"/>
          <w:szCs w:val="24"/>
        </w:rPr>
        <w:t xml:space="preserve"> </w:t>
      </w:r>
      <w:r w:rsidR="00002DB6" w:rsidRPr="007E668A">
        <w:t xml:space="preserve"> </w:t>
      </w:r>
      <w:r w:rsidR="00002DB6" w:rsidRPr="007E668A">
        <w:rPr>
          <w:rFonts w:ascii="Times New Roman" w:hAnsi="Times New Roman" w:cs="Times New Roman"/>
          <w:sz w:val="24"/>
          <w:szCs w:val="24"/>
        </w:rPr>
        <w:t xml:space="preserve">ROIDTrends addresses this gap by converting community PEDTest reports into structured surveillance data on IPED markets. It integrates point-of-submission surveys to track </w:t>
      </w:r>
      <w:r>
        <w:rPr>
          <w:rFonts w:ascii="Times New Roman" w:hAnsi="Times New Roman" w:cs="Times New Roman"/>
          <w:sz w:val="24"/>
          <w:szCs w:val="24"/>
        </w:rPr>
        <w:t>consumer</w:t>
      </w:r>
      <w:r w:rsidR="00002DB6" w:rsidRPr="007E668A">
        <w:rPr>
          <w:rFonts w:ascii="Times New Roman" w:hAnsi="Times New Roman" w:cs="Times New Roman"/>
          <w:sz w:val="24"/>
          <w:szCs w:val="24"/>
        </w:rPr>
        <w:t xml:space="preserve"> characteristics, behaviours, health access, and changes in decision-making over time.</w:t>
      </w:r>
    </w:p>
    <w:p w14:paraId="246009D9" w14:textId="3A4B9AA2" w:rsidR="00002DB6" w:rsidRDefault="00002DB6" w:rsidP="00002DB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This research aims to: U</w:t>
      </w:r>
      <w:r w:rsidRPr="00CC0C39">
        <w:rPr>
          <w:rFonts w:ascii="Times New Roman" w:hAnsi="Times New Roman" w:cs="Times New Roman"/>
          <w:sz w:val="24"/>
          <w:szCs w:val="24"/>
        </w:rPr>
        <w:t>tilise community-submitted data, collected through the ROIDTrends program, to examine novel and emerging IPEDs circulating within Queensland’s illicit market.</w:t>
      </w:r>
    </w:p>
    <w:p w14:paraId="672F4C60" w14:textId="59F89B90" w:rsidR="00A50DC6" w:rsidRPr="00A50DC6" w:rsidRDefault="00002DB6" w:rsidP="00A50DC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G</w:t>
      </w:r>
      <w:r w:rsidRPr="007E668A">
        <w:rPr>
          <w:rFonts w:ascii="Times New Roman" w:hAnsi="Times New Roman" w:cs="Times New Roman"/>
          <w:sz w:val="24"/>
          <w:szCs w:val="24"/>
        </w:rPr>
        <w:t>enerate timely, actionable surveillance data that informs harm reduction responses, service planning, and evidence-based policy related to IPED use.</w:t>
      </w:r>
    </w:p>
    <w:p w14:paraId="5F68FFC8" w14:textId="77777777" w:rsidR="00002DB6" w:rsidRPr="00B9780F" w:rsidRDefault="00002DB6" w:rsidP="00002DB6">
      <w:pPr>
        <w:shd w:val="clear" w:color="auto" w:fill="FDDB61"/>
        <w:jc w:val="center"/>
        <w:rPr>
          <w:rFonts w:ascii="Times New Roman" w:hAnsi="Times New Roman" w:cs="Times New Roman"/>
          <w:b/>
          <w:bCs/>
          <w:sz w:val="24"/>
          <w:szCs w:val="24"/>
          <w:u w:val="single"/>
        </w:rPr>
      </w:pPr>
      <w:r w:rsidRPr="00B9780F">
        <w:rPr>
          <w:rFonts w:ascii="Times New Roman" w:hAnsi="Times New Roman" w:cs="Times New Roman"/>
          <w:b/>
          <w:bCs/>
          <w:sz w:val="24"/>
          <w:szCs w:val="24"/>
          <w:u w:val="single"/>
        </w:rPr>
        <w:t>Research Plan and Methods</w:t>
      </w:r>
    </w:p>
    <w:p w14:paraId="5A298408" w14:textId="77777777" w:rsidR="00002DB6" w:rsidRPr="000763C7" w:rsidRDefault="00002DB6" w:rsidP="00A50DC6">
      <w:pPr>
        <w:jc w:val="both"/>
        <w:rPr>
          <w:rFonts w:ascii="Times New Roman" w:hAnsi="Times New Roman" w:cs="Times New Roman"/>
          <w:b/>
          <w:bCs/>
          <w:i/>
          <w:iCs/>
          <w:sz w:val="24"/>
          <w:szCs w:val="24"/>
        </w:rPr>
      </w:pPr>
      <w:r w:rsidRPr="00983D01">
        <w:rPr>
          <w:rFonts w:ascii="Times New Roman" w:hAnsi="Times New Roman" w:cs="Times New Roman"/>
          <w:b/>
          <w:bCs/>
          <w:i/>
          <w:iCs/>
          <w:sz w:val="24"/>
          <w:szCs w:val="24"/>
        </w:rPr>
        <w:t>Design</w:t>
      </w:r>
      <w:r>
        <w:rPr>
          <w:rFonts w:ascii="Times New Roman" w:hAnsi="Times New Roman" w:cs="Times New Roman"/>
          <w:b/>
          <w:bCs/>
          <w:i/>
          <w:iCs/>
          <w:sz w:val="24"/>
          <w:szCs w:val="24"/>
        </w:rPr>
        <w:t xml:space="preserve">: </w:t>
      </w:r>
      <w:r w:rsidRPr="00983D01">
        <w:rPr>
          <w:rFonts w:ascii="Times New Roman" w:hAnsi="Times New Roman" w:cs="Times New Roman"/>
          <w:sz w:val="24"/>
          <w:szCs w:val="24"/>
        </w:rPr>
        <w:t xml:space="preserve">This study </w:t>
      </w:r>
      <w:r w:rsidRPr="000D5E92">
        <w:rPr>
          <w:rFonts w:ascii="Times New Roman" w:hAnsi="Times New Roman" w:cs="Times New Roman"/>
          <w:sz w:val="24"/>
          <w:szCs w:val="24"/>
        </w:rPr>
        <w:t xml:space="preserve">combines repeated cross-sectional </w:t>
      </w:r>
      <w:r>
        <w:rPr>
          <w:rFonts w:ascii="Times New Roman" w:hAnsi="Times New Roman" w:cs="Times New Roman"/>
          <w:sz w:val="24"/>
          <w:szCs w:val="24"/>
        </w:rPr>
        <w:t>data</w:t>
      </w:r>
      <w:r w:rsidRPr="000D5E92">
        <w:rPr>
          <w:rFonts w:ascii="Times New Roman" w:hAnsi="Times New Roman" w:cs="Times New Roman"/>
          <w:sz w:val="24"/>
          <w:szCs w:val="24"/>
        </w:rPr>
        <w:t xml:space="preserve"> with anonymously linked longitudinal reporting</w:t>
      </w:r>
      <w:r>
        <w:rPr>
          <w:rFonts w:ascii="Times New Roman" w:hAnsi="Times New Roman" w:cs="Times New Roman"/>
          <w:sz w:val="24"/>
          <w:szCs w:val="24"/>
        </w:rPr>
        <w:t xml:space="preserve">. Ethics approval will be sought from The University of Queensland. </w:t>
      </w:r>
    </w:p>
    <w:p w14:paraId="33162CC1" w14:textId="04AC175B" w:rsidR="00C419E7" w:rsidRDefault="00C419E7" w:rsidP="00A50DC6">
      <w:pPr>
        <w:jc w:val="both"/>
        <w:rPr>
          <w:rFonts w:ascii="Times New Roman" w:hAnsi="Times New Roman" w:cs="Times New Roman"/>
          <w:sz w:val="24"/>
          <w:szCs w:val="24"/>
        </w:rPr>
      </w:pPr>
      <w:r w:rsidRPr="00983D01">
        <w:rPr>
          <w:rFonts w:ascii="Times New Roman" w:hAnsi="Times New Roman" w:cs="Times New Roman"/>
          <w:b/>
          <w:bCs/>
          <w:i/>
          <w:iCs/>
          <w:sz w:val="24"/>
          <w:szCs w:val="24"/>
        </w:rPr>
        <w:lastRenderedPageBreak/>
        <w:t>Recruitment</w:t>
      </w:r>
      <w:r>
        <w:rPr>
          <w:rFonts w:ascii="Times New Roman" w:hAnsi="Times New Roman" w:cs="Times New Roman"/>
          <w:b/>
          <w:bCs/>
          <w:i/>
          <w:iCs/>
          <w:sz w:val="24"/>
          <w:szCs w:val="24"/>
        </w:rPr>
        <w:t xml:space="preserve">: </w:t>
      </w:r>
      <w:r w:rsidRPr="000D5E92">
        <w:rPr>
          <w:rFonts w:ascii="Times New Roman" w:hAnsi="Times New Roman" w:cs="Times New Roman"/>
          <w:sz w:val="24"/>
          <w:szCs w:val="24"/>
        </w:rPr>
        <w:t>Participants are members of the community who use IPEDs and voluntarily submit IPED</w:t>
      </w:r>
      <w:r>
        <w:rPr>
          <w:rFonts w:ascii="Times New Roman" w:hAnsi="Times New Roman" w:cs="Times New Roman"/>
          <w:sz w:val="24"/>
          <w:szCs w:val="24"/>
        </w:rPr>
        <w:t xml:space="preserve"> </w:t>
      </w:r>
      <w:r w:rsidRPr="000D5E92">
        <w:rPr>
          <w:rFonts w:ascii="Times New Roman" w:hAnsi="Times New Roman" w:cs="Times New Roman"/>
          <w:sz w:val="24"/>
          <w:szCs w:val="24"/>
        </w:rPr>
        <w:t>checking results to PEDTest. Eligible participants are aged 18 years or older and choose to report the results of testing conducted using PEDTest reagent kits. Participation is open to individuals regardless of frequency of IPED use, experience with drug checking, or engagement with health services. No exclusion criteria are applied beyond age and voluntary participation.</w:t>
      </w:r>
    </w:p>
    <w:p w14:paraId="5B52E16D" w14:textId="2639A937" w:rsidR="001E43E0" w:rsidRDefault="00C419E7" w:rsidP="00A50DC6">
      <w:pPr>
        <w:jc w:val="both"/>
        <w:rPr>
          <w:rFonts w:ascii="Times New Roman" w:hAnsi="Times New Roman" w:cs="Times New Roman"/>
          <w:sz w:val="24"/>
          <w:szCs w:val="24"/>
        </w:rPr>
      </w:pPr>
      <w:r w:rsidRPr="00736D0F">
        <w:rPr>
          <w:rFonts w:ascii="Times New Roman" w:hAnsi="Times New Roman" w:cs="Times New Roman"/>
          <w:b/>
          <w:bCs/>
          <w:i/>
          <w:iCs/>
          <w:sz w:val="24"/>
          <w:szCs w:val="24"/>
        </w:rPr>
        <w:t>Data Collection:</w:t>
      </w:r>
      <w:r>
        <w:rPr>
          <w:rFonts w:ascii="Times New Roman" w:hAnsi="Times New Roman" w:cs="Times New Roman"/>
          <w:sz w:val="24"/>
          <w:szCs w:val="24"/>
        </w:rPr>
        <w:t xml:space="preserve"> </w:t>
      </w:r>
      <w:r w:rsidRPr="00C419E7">
        <w:rPr>
          <w:rFonts w:ascii="Times New Roman" w:hAnsi="Times New Roman" w:cs="Times New Roman"/>
          <w:sz w:val="24"/>
          <w:szCs w:val="24"/>
        </w:rPr>
        <w:t>Data are collected via PEDTest’s secure online reporting platform and transferred to UQ’s Trusted Research Environment. Submissions include drug type, formulation, labelled claims, and reagent testing outcomes, categorised as confirmed, swapped, bunk, or inconclusive. An embedded ROIDTrends survey, delivered using UQ infrastructure</w:t>
      </w:r>
      <w:r w:rsidR="004A2939">
        <w:rPr>
          <w:rFonts w:ascii="Times New Roman" w:hAnsi="Times New Roman" w:cs="Times New Roman"/>
          <w:sz w:val="24"/>
          <w:szCs w:val="24"/>
        </w:rPr>
        <w:t xml:space="preserve"> (e.g., Qualtrics)</w:t>
      </w:r>
      <w:r w:rsidRPr="00C419E7">
        <w:rPr>
          <w:rFonts w:ascii="Times New Roman" w:hAnsi="Times New Roman" w:cs="Times New Roman"/>
          <w:sz w:val="24"/>
          <w:szCs w:val="24"/>
        </w:rPr>
        <w:t xml:space="preserve"> and </w:t>
      </w:r>
      <w:proofErr w:type="spellStart"/>
      <w:r w:rsidRPr="00C419E7">
        <w:rPr>
          <w:rFonts w:ascii="Times New Roman" w:hAnsi="Times New Roman" w:cs="Times New Roman"/>
          <w:sz w:val="24"/>
          <w:szCs w:val="24"/>
        </w:rPr>
        <w:t>REDCap</w:t>
      </w:r>
      <w:proofErr w:type="spellEnd"/>
      <w:r w:rsidRPr="00C419E7">
        <w:rPr>
          <w:rFonts w:ascii="Times New Roman" w:hAnsi="Times New Roman" w:cs="Times New Roman"/>
          <w:sz w:val="24"/>
          <w:szCs w:val="24"/>
        </w:rPr>
        <w:t xml:space="preserve">, captures demographic information, IPED use patterns, novel and emerging trends, harm reduction practices, health service access, and selected health and wellbeing indicators. Participants with anonymous linking codes enable longitudinal data capture across submissions. </w:t>
      </w:r>
    </w:p>
    <w:p w14:paraId="6A193F5C" w14:textId="1B87DF3E" w:rsidR="00C419E7" w:rsidRPr="00C419E7" w:rsidRDefault="001E43E0" w:rsidP="00A50DC6">
      <w:pPr>
        <w:jc w:val="both"/>
        <w:rPr>
          <w:rFonts w:ascii="Times New Roman" w:hAnsi="Times New Roman" w:cs="Times New Roman"/>
          <w:sz w:val="24"/>
          <w:szCs w:val="24"/>
        </w:rPr>
      </w:pPr>
      <w:r w:rsidRPr="00983D01">
        <w:rPr>
          <w:rFonts w:ascii="Times New Roman" w:hAnsi="Times New Roman" w:cs="Times New Roman"/>
          <w:b/>
          <w:bCs/>
          <w:i/>
          <w:iCs/>
          <w:sz w:val="24"/>
          <w:szCs w:val="24"/>
        </w:rPr>
        <w:t>Data Analysis</w:t>
      </w:r>
      <w:r>
        <w:rPr>
          <w:rFonts w:ascii="Times New Roman" w:hAnsi="Times New Roman" w:cs="Times New Roman"/>
          <w:b/>
          <w:bCs/>
          <w:i/>
          <w:iCs/>
          <w:sz w:val="24"/>
          <w:szCs w:val="24"/>
        </w:rPr>
        <w:t xml:space="preserve">: </w:t>
      </w:r>
      <w:r w:rsidR="00C419E7" w:rsidRPr="00C419E7">
        <w:rPr>
          <w:rFonts w:ascii="Times New Roman" w:hAnsi="Times New Roman" w:cs="Times New Roman"/>
          <w:sz w:val="24"/>
          <w:szCs w:val="24"/>
        </w:rPr>
        <w:t>Descriptive and inferential analyses will summarise legitimacy outcomes and examine associations by formulation type, with longitudinal analyses assessing within-person changes over time. Data will be analysed across two three-month cycles to identify trends and inform harm reduction, service delivery, and policy responses.</w:t>
      </w:r>
      <w:r w:rsidR="00A50DC6" w:rsidRPr="00A50DC6">
        <w:rPr>
          <w:rFonts w:ascii="Times New Roman" w:hAnsi="Times New Roman" w:cs="Times New Roman"/>
          <w:sz w:val="24"/>
          <w:szCs w:val="24"/>
        </w:rPr>
        <w:t xml:space="preserve"> </w:t>
      </w:r>
    </w:p>
    <w:p w14:paraId="63A191D1" w14:textId="392F7258" w:rsidR="004A2939" w:rsidRDefault="001E43E0" w:rsidP="00355C25">
      <w:pPr>
        <w:shd w:val="clear" w:color="auto" w:fill="FDDB61"/>
        <w:jc w:val="center"/>
        <w:rPr>
          <w:rFonts w:ascii="Times New Roman" w:hAnsi="Times New Roman" w:cs="Times New Roman"/>
          <w:b/>
          <w:bCs/>
          <w:sz w:val="24"/>
          <w:szCs w:val="24"/>
          <w:u w:val="single"/>
        </w:rPr>
      </w:pPr>
      <w:r w:rsidRPr="00B9780F">
        <w:rPr>
          <w:rFonts w:ascii="Times New Roman" w:hAnsi="Times New Roman" w:cs="Times New Roman"/>
          <w:b/>
          <w:bCs/>
          <w:sz w:val="24"/>
          <w:szCs w:val="24"/>
          <w:u w:val="single"/>
        </w:rPr>
        <w:t>Significance and Outcomes</w:t>
      </w:r>
    </w:p>
    <w:p w14:paraId="28843DE3" w14:textId="190FBFA2" w:rsidR="00A50DC6" w:rsidRPr="00A50DC6" w:rsidRDefault="00A50DC6" w:rsidP="00A50DC6">
      <w:pPr>
        <w:jc w:val="both"/>
        <w:rPr>
          <w:rFonts w:ascii="Times New Roman" w:hAnsi="Times New Roman" w:cs="Times New Roman"/>
          <w:sz w:val="24"/>
          <w:szCs w:val="24"/>
        </w:rPr>
      </w:pPr>
      <w:r w:rsidRPr="00355C25">
        <w:rPr>
          <w:rFonts w:ascii="Times New Roman" w:hAnsi="Times New Roman" w:cs="Times New Roman"/>
          <w:noProof/>
          <w:sz w:val="24"/>
          <w:szCs w:val="24"/>
        </w:rPr>
        <w:drawing>
          <wp:anchor distT="0" distB="0" distL="114300" distR="114300" simplePos="0" relativeHeight="251661312" behindDoc="1" locked="0" layoutInCell="1" allowOverlap="1" wp14:anchorId="6335356A" wp14:editId="03EC8D8B">
            <wp:simplePos x="0" y="0"/>
            <wp:positionH relativeFrom="margin">
              <wp:align>right</wp:align>
            </wp:positionH>
            <wp:positionV relativeFrom="paragraph">
              <wp:posOffset>9525</wp:posOffset>
            </wp:positionV>
            <wp:extent cx="2733675" cy="4380230"/>
            <wp:effectExtent l="0" t="0" r="9525" b="0"/>
            <wp:wrapTight wrapText="bothSides">
              <wp:wrapPolygon edited="0">
                <wp:start x="0" y="0"/>
                <wp:lineTo x="0" y="20949"/>
                <wp:lineTo x="21525" y="20949"/>
                <wp:lineTo x="21525" y="0"/>
                <wp:lineTo x="0" y="0"/>
              </wp:wrapPolygon>
            </wp:wrapTight>
            <wp:docPr id="1294336799" name="Picture 1" descr="A diagram of a health c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6799" name="Picture 1" descr="A diagram of a health care system&#10;&#10;AI-generated content may be incorrect."/>
                    <pic:cNvPicPr/>
                  </pic:nvPicPr>
                  <pic:blipFill rotWithShape="1">
                    <a:blip r:embed="rId7" cstate="print">
                      <a:extLst>
                        <a:ext uri="{28A0092B-C50C-407E-A947-70E740481C1C}">
                          <a14:useLocalDpi xmlns:a14="http://schemas.microsoft.com/office/drawing/2010/main" val="0"/>
                        </a:ext>
                      </a:extLst>
                    </a:blip>
                    <a:srcRect b="-3797"/>
                    <a:stretch>
                      <a:fillRect/>
                    </a:stretch>
                  </pic:blipFill>
                  <pic:spPr bwMode="auto">
                    <a:xfrm>
                      <a:off x="0" y="0"/>
                      <a:ext cx="2733675" cy="4380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2939">
        <w:rPr>
          <w:rFonts w:ascii="Times New Roman" w:hAnsi="Times New Roman" w:cs="Times New Roman"/>
          <w:sz w:val="24"/>
          <w:szCs w:val="24"/>
        </w:rPr>
        <w:t>This project addresses a critical gap in alcohol and other drug surveillance by generating timely, real-world evidence on IPED use and emerging risks that are largely invisible within existing systems. By integrating community-submitted drug checking data with structured survey reporting and rapid analysis cycles, ROIDTrends will enable early identification of novel trends, formulation-specific risk patterns, and harm reduction needs. Following establishment, the UQ–PEDTest partnership will deliver two rolling surveillance snapshots over three-month periods, embedded within IPED policy advocacy and service delivery through QuIVAA and QuIHN. Key outputs include surveillance summaries detailing legitimacy outcomes and emerging trends, practice-relevant insights into how drug checking influences decision-making and service engagement, and peer-reviewed publications demonstrating the public health value of community-based surveillance. Findings will be disseminated through Steroid QNECT and metropolitan and regional NSPs using accessible formats, including infographics and online resources, to support responsive harm reduction</w:t>
      </w:r>
      <w:r>
        <w:rPr>
          <w:rFonts w:ascii="Times New Roman" w:hAnsi="Times New Roman" w:cs="Times New Roman"/>
          <w:sz w:val="24"/>
          <w:szCs w:val="24"/>
        </w:rPr>
        <w:t>.</w:t>
      </w:r>
    </w:p>
    <w:p w14:paraId="6FF6A695" w14:textId="39671FDC" w:rsidR="009D469B" w:rsidRDefault="009D469B" w:rsidP="004A2939">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Feasibility and Track Record</w:t>
      </w:r>
    </w:p>
    <w:p w14:paraId="08E10878" w14:textId="6A3055AD" w:rsidR="004B7C40" w:rsidRPr="004B7C40" w:rsidRDefault="004B7C40" w:rsidP="00042976">
      <w:pPr>
        <w:jc w:val="both"/>
        <w:rPr>
          <w:rFonts w:ascii="Times New Roman" w:hAnsi="Times New Roman" w:cs="Times New Roman"/>
          <w:sz w:val="24"/>
          <w:szCs w:val="24"/>
        </w:rPr>
      </w:pPr>
      <w:r w:rsidRPr="004B7C40">
        <w:rPr>
          <w:rFonts w:ascii="Times New Roman" w:hAnsi="Times New Roman" w:cs="Times New Roman"/>
          <w:sz w:val="24"/>
          <w:szCs w:val="24"/>
        </w:rPr>
        <w:t xml:space="preserve">This project brings together an award-winning, gender-balanced team spanning senior (CIA Ferris), mid-career (CI Piatkowski), and emerging career researchers (CIs Akrigg, Bonenti, Ahmadinejad), alongside policy and AOD sector leaders </w:t>
      </w:r>
      <w:r w:rsidRPr="004B7C40">
        <w:rPr>
          <w:rFonts w:ascii="Times New Roman" w:hAnsi="Times New Roman" w:cs="Times New Roman"/>
          <w:b/>
          <w:bCs/>
          <w:sz w:val="24"/>
          <w:szCs w:val="24"/>
        </w:rPr>
        <w:t>(CIs Kill, Davey, Craven) who collectively oversee services with &gt;$</w:t>
      </w:r>
      <w:r w:rsidRPr="00042976">
        <w:rPr>
          <w:rFonts w:ascii="Times New Roman" w:hAnsi="Times New Roman" w:cs="Times New Roman"/>
          <w:b/>
          <w:bCs/>
          <w:sz w:val="24"/>
          <w:szCs w:val="24"/>
        </w:rPr>
        <w:t>3</w:t>
      </w:r>
      <w:r w:rsidRPr="004B7C40">
        <w:rPr>
          <w:rFonts w:ascii="Times New Roman" w:hAnsi="Times New Roman" w:cs="Times New Roman"/>
          <w:b/>
          <w:bCs/>
          <w:sz w:val="24"/>
          <w:szCs w:val="24"/>
        </w:rPr>
        <w:t>0M per annum in sector funding.</w:t>
      </w:r>
      <w:r w:rsidRPr="004B7C40">
        <w:rPr>
          <w:rFonts w:ascii="Times New Roman" w:hAnsi="Times New Roman" w:cs="Times New Roman"/>
          <w:sz w:val="24"/>
          <w:szCs w:val="24"/>
        </w:rPr>
        <w:t xml:space="preserve"> </w:t>
      </w:r>
      <w:r w:rsidRPr="004B7C40">
        <w:rPr>
          <w:rFonts w:ascii="Times New Roman" w:hAnsi="Times New Roman" w:cs="Times New Roman"/>
          <w:b/>
          <w:bCs/>
          <w:sz w:val="24"/>
          <w:szCs w:val="24"/>
        </w:rPr>
        <w:t>CIA Ferris (&gt;$70M competitive funding;</w:t>
      </w:r>
      <w:r w:rsidRPr="00042976">
        <w:rPr>
          <w:rFonts w:ascii="Times New Roman" w:hAnsi="Times New Roman" w:cs="Times New Roman"/>
          <w:b/>
          <w:bCs/>
          <w:sz w:val="24"/>
          <w:szCs w:val="24"/>
        </w:rPr>
        <w:t xml:space="preserve"> &gt;</w:t>
      </w:r>
      <w:r w:rsidR="00042976">
        <w:rPr>
          <w:rFonts w:ascii="Times New Roman" w:hAnsi="Times New Roman" w:cs="Times New Roman"/>
          <w:b/>
          <w:bCs/>
          <w:sz w:val="24"/>
          <w:szCs w:val="24"/>
        </w:rPr>
        <w:t>200</w:t>
      </w:r>
      <w:r w:rsidRPr="00042976">
        <w:rPr>
          <w:rFonts w:ascii="Times New Roman" w:hAnsi="Times New Roman" w:cs="Times New Roman"/>
          <w:b/>
          <w:bCs/>
          <w:sz w:val="24"/>
          <w:szCs w:val="24"/>
        </w:rPr>
        <w:t xml:space="preserve"> outputs</w:t>
      </w:r>
      <w:r w:rsidRPr="004B7C40">
        <w:rPr>
          <w:rFonts w:ascii="Times New Roman" w:hAnsi="Times New Roman" w:cs="Times New Roman"/>
          <w:b/>
          <w:bCs/>
          <w:sz w:val="24"/>
          <w:szCs w:val="24"/>
        </w:rPr>
        <w:t xml:space="preserve">) and CI Piatkowski (NHMRC </w:t>
      </w:r>
      <w:r w:rsidRPr="00042976">
        <w:rPr>
          <w:rFonts w:ascii="Times New Roman" w:hAnsi="Times New Roman" w:cs="Times New Roman"/>
          <w:b/>
          <w:bCs/>
          <w:sz w:val="24"/>
          <w:szCs w:val="24"/>
        </w:rPr>
        <w:t xml:space="preserve">Emerging Leadership </w:t>
      </w:r>
      <w:r w:rsidRPr="004B7C40">
        <w:rPr>
          <w:rFonts w:ascii="Times New Roman" w:hAnsi="Times New Roman" w:cs="Times New Roman"/>
          <w:b/>
          <w:bCs/>
          <w:sz w:val="24"/>
          <w:szCs w:val="24"/>
        </w:rPr>
        <w:t>Fellow; &gt;$</w:t>
      </w:r>
      <w:r w:rsidRPr="00042976">
        <w:rPr>
          <w:rFonts w:ascii="Times New Roman" w:hAnsi="Times New Roman" w:cs="Times New Roman"/>
          <w:b/>
          <w:bCs/>
          <w:sz w:val="24"/>
          <w:szCs w:val="24"/>
        </w:rPr>
        <w:t>7</w:t>
      </w:r>
      <w:r w:rsidRPr="004B7C40">
        <w:rPr>
          <w:rFonts w:ascii="Times New Roman" w:hAnsi="Times New Roman" w:cs="Times New Roman"/>
          <w:b/>
          <w:bCs/>
          <w:sz w:val="24"/>
          <w:szCs w:val="24"/>
        </w:rPr>
        <w:t>.</w:t>
      </w:r>
      <w:r w:rsidRPr="00042976">
        <w:rPr>
          <w:rFonts w:ascii="Times New Roman" w:hAnsi="Times New Roman" w:cs="Times New Roman"/>
          <w:b/>
          <w:bCs/>
          <w:sz w:val="24"/>
          <w:szCs w:val="24"/>
        </w:rPr>
        <w:t>8</w:t>
      </w:r>
      <w:r w:rsidRPr="004B7C40">
        <w:rPr>
          <w:rFonts w:ascii="Times New Roman" w:hAnsi="Times New Roman" w:cs="Times New Roman"/>
          <w:b/>
          <w:bCs/>
          <w:sz w:val="24"/>
          <w:szCs w:val="24"/>
        </w:rPr>
        <w:t xml:space="preserve">M </w:t>
      </w:r>
      <w:r w:rsidRPr="00042976">
        <w:rPr>
          <w:rFonts w:ascii="Times New Roman" w:hAnsi="Times New Roman" w:cs="Times New Roman"/>
          <w:b/>
          <w:bCs/>
          <w:sz w:val="24"/>
          <w:szCs w:val="24"/>
        </w:rPr>
        <w:t>competitive</w:t>
      </w:r>
      <w:r w:rsidRPr="004B7C40">
        <w:rPr>
          <w:rFonts w:ascii="Times New Roman" w:hAnsi="Times New Roman" w:cs="Times New Roman"/>
          <w:b/>
          <w:bCs/>
          <w:sz w:val="24"/>
          <w:szCs w:val="24"/>
        </w:rPr>
        <w:t xml:space="preserve"> funding</w:t>
      </w:r>
      <w:r w:rsidRPr="00042976">
        <w:rPr>
          <w:rFonts w:ascii="Times New Roman" w:hAnsi="Times New Roman" w:cs="Times New Roman"/>
          <w:b/>
          <w:bCs/>
          <w:sz w:val="24"/>
          <w:szCs w:val="24"/>
        </w:rPr>
        <w:t>; &gt;175 outputs</w:t>
      </w:r>
      <w:r w:rsidRPr="004B7C40">
        <w:rPr>
          <w:rFonts w:ascii="Times New Roman" w:hAnsi="Times New Roman" w:cs="Times New Roman"/>
          <w:b/>
          <w:bCs/>
          <w:sz w:val="24"/>
          <w:szCs w:val="24"/>
        </w:rPr>
        <w:t>)</w:t>
      </w:r>
      <w:r w:rsidRPr="004B7C40">
        <w:rPr>
          <w:rFonts w:ascii="Times New Roman" w:hAnsi="Times New Roman" w:cs="Times New Roman"/>
          <w:sz w:val="24"/>
          <w:szCs w:val="24"/>
        </w:rPr>
        <w:t xml:space="preserve"> are both nationally recognised award recipients and </w:t>
      </w:r>
      <w:r>
        <w:rPr>
          <w:rFonts w:ascii="Times New Roman" w:hAnsi="Times New Roman" w:cs="Times New Roman"/>
          <w:sz w:val="24"/>
          <w:szCs w:val="24"/>
        </w:rPr>
        <w:t>for the</w:t>
      </w:r>
      <w:r w:rsidRPr="004B7C40">
        <w:rPr>
          <w:rFonts w:ascii="Times New Roman" w:hAnsi="Times New Roman" w:cs="Times New Roman"/>
          <w:sz w:val="24"/>
          <w:szCs w:val="24"/>
        </w:rPr>
        <w:t xml:space="preserve"> award-winning ROIDCheck program. </w:t>
      </w:r>
      <w:r w:rsidRPr="004B7C40">
        <w:rPr>
          <w:rFonts w:ascii="Times New Roman" w:hAnsi="Times New Roman" w:cs="Times New Roman"/>
          <w:b/>
          <w:bCs/>
          <w:sz w:val="24"/>
          <w:szCs w:val="24"/>
        </w:rPr>
        <w:t>The</w:t>
      </w:r>
      <w:r w:rsidR="00042976" w:rsidRPr="00042976">
        <w:rPr>
          <w:rFonts w:ascii="Times New Roman" w:hAnsi="Times New Roman" w:cs="Times New Roman"/>
          <w:b/>
          <w:bCs/>
          <w:sz w:val="24"/>
          <w:szCs w:val="24"/>
        </w:rPr>
        <w:t xml:space="preserve"> entire</w:t>
      </w:r>
      <w:r w:rsidRPr="004B7C40">
        <w:rPr>
          <w:rFonts w:ascii="Times New Roman" w:hAnsi="Times New Roman" w:cs="Times New Roman"/>
          <w:b/>
          <w:bCs/>
          <w:sz w:val="24"/>
          <w:szCs w:val="24"/>
        </w:rPr>
        <w:t xml:space="preserve"> team has an established record of collaboration </w:t>
      </w:r>
      <w:r w:rsidRPr="004B7C40">
        <w:rPr>
          <w:rFonts w:ascii="Times New Roman" w:hAnsi="Times New Roman" w:cs="Times New Roman"/>
          <w:sz w:val="24"/>
          <w:szCs w:val="24"/>
        </w:rPr>
        <w:t>across peer-reviewed outputs and national technical reports, including joint work on IPED market contamination and legitimacy (</w:t>
      </w:r>
      <w:r w:rsidR="00042976">
        <w:rPr>
          <w:rFonts w:ascii="Times New Roman" w:hAnsi="Times New Roman" w:cs="Times New Roman"/>
          <w:sz w:val="24"/>
          <w:szCs w:val="24"/>
        </w:rPr>
        <w:t>13-18</w:t>
      </w:r>
      <w:r w:rsidRPr="004B7C40">
        <w:rPr>
          <w:rFonts w:ascii="Times New Roman" w:hAnsi="Times New Roman" w:cs="Times New Roman"/>
          <w:sz w:val="24"/>
          <w:szCs w:val="24"/>
        </w:rPr>
        <w:t>).</w:t>
      </w:r>
      <w:r>
        <w:rPr>
          <w:rFonts w:ascii="Times New Roman" w:hAnsi="Times New Roman" w:cs="Times New Roman"/>
          <w:sz w:val="24"/>
          <w:szCs w:val="24"/>
        </w:rPr>
        <w:t xml:space="preserve"> </w:t>
      </w:r>
      <w:r w:rsidRPr="004B7C40">
        <w:rPr>
          <w:rFonts w:ascii="Times New Roman" w:hAnsi="Times New Roman" w:cs="Times New Roman"/>
          <w:sz w:val="24"/>
          <w:szCs w:val="24"/>
        </w:rPr>
        <w:t>Their partnership integrates secure data infrastructure and advanced analytics (Ferris</w:t>
      </w:r>
      <w:r w:rsidR="00042976">
        <w:rPr>
          <w:rFonts w:ascii="Times New Roman" w:hAnsi="Times New Roman" w:cs="Times New Roman"/>
          <w:sz w:val="24"/>
          <w:szCs w:val="24"/>
        </w:rPr>
        <w:t>, Bonenti, Ahmadinejad</w:t>
      </w:r>
      <w:r w:rsidRPr="004B7C40">
        <w:rPr>
          <w:rFonts w:ascii="Times New Roman" w:hAnsi="Times New Roman" w:cs="Times New Roman"/>
          <w:sz w:val="24"/>
          <w:szCs w:val="24"/>
        </w:rPr>
        <w:t>), lived-experience–led implementation and service translation (Piatkowski</w:t>
      </w:r>
      <w:r w:rsidR="00042976">
        <w:rPr>
          <w:rFonts w:ascii="Times New Roman" w:hAnsi="Times New Roman" w:cs="Times New Roman"/>
          <w:sz w:val="24"/>
          <w:szCs w:val="24"/>
        </w:rPr>
        <w:t>, Akrigg</w:t>
      </w:r>
      <w:r w:rsidRPr="004B7C40">
        <w:rPr>
          <w:rFonts w:ascii="Times New Roman" w:hAnsi="Times New Roman" w:cs="Times New Roman"/>
          <w:sz w:val="24"/>
          <w:szCs w:val="24"/>
        </w:rPr>
        <w:t xml:space="preserve">), and large-scale community service delivery and policy engagement (Kill, Davey, Craven). Collectively, </w:t>
      </w:r>
      <w:r w:rsidRPr="004B7C40">
        <w:rPr>
          <w:rFonts w:ascii="Times New Roman" w:hAnsi="Times New Roman" w:cs="Times New Roman"/>
          <w:b/>
          <w:bCs/>
          <w:sz w:val="24"/>
          <w:szCs w:val="24"/>
        </w:rPr>
        <w:t>the investigators have secured &gt;$</w:t>
      </w:r>
      <w:r w:rsidR="00042976" w:rsidRPr="00042976">
        <w:rPr>
          <w:rFonts w:ascii="Times New Roman" w:hAnsi="Times New Roman" w:cs="Times New Roman"/>
          <w:b/>
          <w:bCs/>
          <w:sz w:val="24"/>
          <w:szCs w:val="24"/>
        </w:rPr>
        <w:t>100</w:t>
      </w:r>
      <w:r w:rsidRPr="004B7C40">
        <w:rPr>
          <w:rFonts w:ascii="Times New Roman" w:hAnsi="Times New Roman" w:cs="Times New Roman"/>
          <w:b/>
          <w:bCs/>
          <w:sz w:val="24"/>
          <w:szCs w:val="24"/>
        </w:rPr>
        <w:t xml:space="preserve">M in competitive and commissioned funding and supervised </w:t>
      </w:r>
      <w:r w:rsidR="00042976" w:rsidRPr="00042976">
        <w:rPr>
          <w:rFonts w:ascii="Times New Roman" w:hAnsi="Times New Roman" w:cs="Times New Roman"/>
          <w:b/>
          <w:bCs/>
          <w:sz w:val="24"/>
          <w:szCs w:val="24"/>
        </w:rPr>
        <w:t>30</w:t>
      </w:r>
      <w:r w:rsidRPr="004B7C40">
        <w:rPr>
          <w:rFonts w:ascii="Times New Roman" w:hAnsi="Times New Roman" w:cs="Times New Roman"/>
          <w:b/>
          <w:bCs/>
          <w:sz w:val="24"/>
          <w:szCs w:val="24"/>
        </w:rPr>
        <w:t>+ students</w:t>
      </w:r>
      <w:r w:rsidRPr="004B7C40">
        <w:rPr>
          <w:rFonts w:ascii="Times New Roman" w:hAnsi="Times New Roman" w:cs="Times New Roman"/>
          <w:sz w:val="24"/>
          <w:szCs w:val="24"/>
        </w:rPr>
        <w:t xml:space="preserve">, demonstrating depth, succession planning, and sustained research capacity. </w:t>
      </w:r>
    </w:p>
    <w:p w14:paraId="64F90003" w14:textId="13C7B851" w:rsidR="004A2939" w:rsidRDefault="004A2939" w:rsidP="004A2939">
      <w:pPr>
        <w:rPr>
          <w:rFonts w:ascii="Times New Roman" w:hAnsi="Times New Roman" w:cs="Times New Roman"/>
          <w:b/>
          <w:bCs/>
          <w:sz w:val="24"/>
          <w:szCs w:val="24"/>
          <w:u w:val="single"/>
        </w:rPr>
      </w:pPr>
      <w:r>
        <w:rPr>
          <w:rFonts w:ascii="Times New Roman" w:hAnsi="Times New Roman" w:cs="Times New Roman"/>
          <w:b/>
          <w:bCs/>
          <w:sz w:val="24"/>
          <w:szCs w:val="24"/>
          <w:u w:val="single"/>
        </w:rPr>
        <w:t>Timeline</w:t>
      </w:r>
    </w:p>
    <w:tbl>
      <w:tblPr>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82"/>
      </w:tblGrid>
      <w:tr w:rsidR="004A2939" w:rsidRPr="00B257CF" w14:paraId="6B0242B4" w14:textId="77777777" w:rsidTr="00042976">
        <w:trPr>
          <w:trHeight w:val="630"/>
        </w:trPr>
        <w:tc>
          <w:tcPr>
            <w:tcW w:w="1985" w:type="dxa"/>
            <w:tcBorders>
              <w:top w:val="single" w:sz="4" w:space="0" w:color="auto"/>
            </w:tcBorders>
            <w:vAlign w:val="center"/>
            <w:hideMark/>
          </w:tcPr>
          <w:p w14:paraId="2BA4167B" w14:textId="77777777" w:rsidR="004A2939" w:rsidRPr="00B257CF" w:rsidRDefault="004A2939" w:rsidP="00042976">
            <w:pPr>
              <w:spacing w:after="0" w:line="240" w:lineRule="auto"/>
              <w:jc w:val="center"/>
              <w:rPr>
                <w:rFonts w:ascii="Times New Roman" w:eastAsia="Times New Roman" w:hAnsi="Times New Roman" w:cs="Times New Roman"/>
                <w:b/>
                <w:bCs/>
                <w:color w:val="000000"/>
                <w:kern w:val="0"/>
                <w:sz w:val="24"/>
                <w:szCs w:val="24"/>
                <w:lang w:eastAsia="en-AU"/>
                <w14:ligatures w14:val="none"/>
              </w:rPr>
            </w:pPr>
            <w:r w:rsidRPr="00B257CF">
              <w:rPr>
                <w:rFonts w:ascii="Times New Roman" w:eastAsia="Times New Roman" w:hAnsi="Times New Roman" w:cs="Times New Roman"/>
                <w:b/>
                <w:bCs/>
                <w:color w:val="000000"/>
                <w:kern w:val="0"/>
                <w:sz w:val="24"/>
                <w:szCs w:val="24"/>
                <w:lang w:eastAsia="en-AU"/>
                <w14:ligatures w14:val="none"/>
              </w:rPr>
              <w:t>Period</w:t>
            </w:r>
          </w:p>
        </w:tc>
        <w:tc>
          <w:tcPr>
            <w:tcW w:w="7082" w:type="dxa"/>
            <w:tcBorders>
              <w:top w:val="single" w:sz="4" w:space="0" w:color="auto"/>
            </w:tcBorders>
            <w:vAlign w:val="center"/>
            <w:hideMark/>
          </w:tcPr>
          <w:p w14:paraId="50FF3E34" w14:textId="77777777" w:rsidR="004A2939" w:rsidRPr="00B257CF" w:rsidRDefault="004A2939" w:rsidP="00042976">
            <w:pPr>
              <w:spacing w:after="0" w:line="240" w:lineRule="auto"/>
              <w:jc w:val="center"/>
              <w:rPr>
                <w:rFonts w:ascii="Times New Roman" w:eastAsia="Times New Roman" w:hAnsi="Times New Roman" w:cs="Times New Roman"/>
                <w:b/>
                <w:bCs/>
                <w:color w:val="000000"/>
                <w:kern w:val="0"/>
                <w:sz w:val="24"/>
                <w:szCs w:val="24"/>
                <w:lang w:eastAsia="en-AU"/>
                <w14:ligatures w14:val="none"/>
              </w:rPr>
            </w:pPr>
            <w:r w:rsidRPr="00B257CF">
              <w:rPr>
                <w:rFonts w:ascii="Times New Roman" w:eastAsia="Times New Roman" w:hAnsi="Times New Roman" w:cs="Times New Roman"/>
                <w:b/>
                <w:bCs/>
                <w:color w:val="000000"/>
                <w:kern w:val="0"/>
                <w:sz w:val="24"/>
                <w:szCs w:val="24"/>
                <w:lang w:eastAsia="en-AU"/>
                <w14:ligatures w14:val="none"/>
              </w:rPr>
              <w:t>Key Activities and Milestones</w:t>
            </w:r>
          </w:p>
        </w:tc>
      </w:tr>
      <w:tr w:rsidR="004A2939" w:rsidRPr="00B257CF" w14:paraId="3A1F6A23" w14:textId="77777777" w:rsidTr="00042976">
        <w:trPr>
          <w:trHeight w:val="70"/>
        </w:trPr>
        <w:tc>
          <w:tcPr>
            <w:tcW w:w="1985" w:type="dxa"/>
            <w:vAlign w:val="center"/>
            <w:hideMark/>
          </w:tcPr>
          <w:p w14:paraId="50C5F038" w14:textId="5E65C753" w:rsidR="004A2939" w:rsidRPr="009E3708" w:rsidRDefault="004A2939" w:rsidP="00042976">
            <w:pPr>
              <w:spacing w:after="0" w:line="240" w:lineRule="auto"/>
              <w:rPr>
                <w:rFonts w:ascii="Times New Roman" w:eastAsia="Times New Roman" w:hAnsi="Times New Roman" w:cs="Times New Roman"/>
                <w:b/>
                <w:bCs/>
                <w:kern w:val="0"/>
                <w:sz w:val="24"/>
                <w:szCs w:val="24"/>
                <w:lang w:eastAsia="en-AU"/>
                <w14:ligatures w14:val="none"/>
              </w:rPr>
            </w:pPr>
            <w:r w:rsidRPr="009E3708">
              <w:rPr>
                <w:rFonts w:ascii="Times New Roman" w:eastAsia="Times New Roman" w:hAnsi="Times New Roman" w:cs="Times New Roman"/>
                <w:b/>
                <w:bCs/>
                <w:kern w:val="0"/>
                <w:sz w:val="24"/>
                <w:szCs w:val="24"/>
                <w:lang w:eastAsia="en-AU"/>
                <w14:ligatures w14:val="none"/>
              </w:rPr>
              <w:t>Q1 (</w:t>
            </w:r>
            <w:r w:rsidRPr="009E3708">
              <w:rPr>
                <w:rFonts w:ascii="Times New Roman" w:hAnsi="Times New Roman" w:cs="Times New Roman"/>
                <w:b/>
                <w:bCs/>
                <w:sz w:val="24"/>
                <w:szCs w:val="24"/>
              </w:rPr>
              <w:t>June–Aug 2026</w:t>
            </w:r>
            <w:r w:rsidRPr="009E3708">
              <w:rPr>
                <w:rFonts w:ascii="Times New Roman" w:eastAsia="Times New Roman" w:hAnsi="Times New Roman" w:cs="Times New Roman"/>
                <w:b/>
                <w:bCs/>
                <w:kern w:val="0"/>
                <w:sz w:val="24"/>
                <w:szCs w:val="24"/>
                <w:lang w:eastAsia="en-AU"/>
                <w14:ligatures w14:val="none"/>
              </w:rPr>
              <w:t>)</w:t>
            </w:r>
          </w:p>
        </w:tc>
        <w:tc>
          <w:tcPr>
            <w:tcW w:w="7082" w:type="dxa"/>
            <w:vAlign w:val="center"/>
            <w:hideMark/>
          </w:tcPr>
          <w:p w14:paraId="549D85B6" w14:textId="77777777" w:rsidR="004A2939" w:rsidRPr="009E3708" w:rsidRDefault="004A2939" w:rsidP="00042976">
            <w:pPr>
              <w:spacing w:after="0" w:line="240" w:lineRule="auto"/>
              <w:jc w:val="both"/>
              <w:rPr>
                <w:rFonts w:ascii="Times New Roman" w:eastAsia="Times New Roman" w:hAnsi="Times New Roman" w:cs="Times New Roman"/>
                <w:color w:val="000000"/>
                <w:kern w:val="0"/>
                <w:sz w:val="24"/>
                <w:szCs w:val="24"/>
                <w:lang w:eastAsia="en-AU"/>
                <w14:ligatures w14:val="none"/>
              </w:rPr>
            </w:pPr>
            <w:r w:rsidRPr="009E3708">
              <w:rPr>
                <w:rFonts w:ascii="Times New Roman" w:eastAsia="Times New Roman" w:hAnsi="Times New Roman" w:cs="Times New Roman"/>
                <w:color w:val="000000"/>
                <w:kern w:val="0"/>
                <w:sz w:val="24"/>
                <w:szCs w:val="24"/>
                <w:lang w:eastAsia="en-AU"/>
                <w14:ligatures w14:val="none"/>
              </w:rPr>
              <w:t>Ethics approval obtained; recruitment framework finalised; stakeholder engagement initiated with QuIVAA, QuIHN, PEDTest and service partners.</w:t>
            </w:r>
          </w:p>
        </w:tc>
      </w:tr>
      <w:tr w:rsidR="004A2939" w:rsidRPr="00B257CF" w14:paraId="72D855EE" w14:textId="77777777" w:rsidTr="00042976">
        <w:trPr>
          <w:trHeight w:val="699"/>
        </w:trPr>
        <w:tc>
          <w:tcPr>
            <w:tcW w:w="1985" w:type="dxa"/>
            <w:vAlign w:val="center"/>
            <w:hideMark/>
          </w:tcPr>
          <w:p w14:paraId="6237A471" w14:textId="2C2D604A" w:rsidR="004A2939" w:rsidRPr="009E3708" w:rsidRDefault="004A2939" w:rsidP="00042976">
            <w:pPr>
              <w:spacing w:after="0" w:line="240" w:lineRule="auto"/>
              <w:rPr>
                <w:rFonts w:ascii="Times New Roman" w:eastAsia="Times New Roman" w:hAnsi="Times New Roman" w:cs="Times New Roman"/>
                <w:b/>
                <w:bCs/>
                <w:kern w:val="0"/>
                <w:sz w:val="24"/>
                <w:szCs w:val="24"/>
                <w:lang w:eastAsia="en-AU"/>
                <w14:ligatures w14:val="none"/>
              </w:rPr>
            </w:pPr>
            <w:r w:rsidRPr="009E3708">
              <w:rPr>
                <w:rFonts w:ascii="Times New Roman" w:eastAsia="Times New Roman" w:hAnsi="Times New Roman" w:cs="Times New Roman"/>
                <w:b/>
                <w:bCs/>
                <w:kern w:val="0"/>
                <w:sz w:val="24"/>
                <w:szCs w:val="24"/>
                <w:lang w:eastAsia="en-AU"/>
                <w14:ligatures w14:val="none"/>
              </w:rPr>
              <w:t>Q2 (</w:t>
            </w:r>
            <w:r w:rsidRPr="009E3708">
              <w:rPr>
                <w:rFonts w:ascii="Times New Roman" w:hAnsi="Times New Roman" w:cs="Times New Roman"/>
                <w:b/>
                <w:bCs/>
                <w:sz w:val="24"/>
                <w:szCs w:val="24"/>
              </w:rPr>
              <w:t>Aug 2026–Jan 2027</w:t>
            </w:r>
            <w:r w:rsidRPr="009E3708">
              <w:rPr>
                <w:rFonts w:ascii="Times New Roman" w:eastAsia="Times New Roman" w:hAnsi="Times New Roman" w:cs="Times New Roman"/>
                <w:b/>
                <w:bCs/>
                <w:kern w:val="0"/>
                <w:sz w:val="24"/>
                <w:szCs w:val="24"/>
                <w:lang w:eastAsia="en-AU"/>
                <w14:ligatures w14:val="none"/>
              </w:rPr>
              <w:t>)</w:t>
            </w:r>
          </w:p>
        </w:tc>
        <w:tc>
          <w:tcPr>
            <w:tcW w:w="7082" w:type="dxa"/>
            <w:vAlign w:val="center"/>
            <w:hideMark/>
          </w:tcPr>
          <w:p w14:paraId="0BAC7A31" w14:textId="77777777" w:rsidR="004A2939" w:rsidRPr="009E3708" w:rsidRDefault="004A2939" w:rsidP="00042976">
            <w:pPr>
              <w:spacing w:after="0" w:line="240" w:lineRule="auto"/>
              <w:jc w:val="both"/>
              <w:rPr>
                <w:rFonts w:ascii="Times New Roman" w:eastAsia="Times New Roman" w:hAnsi="Times New Roman" w:cs="Times New Roman"/>
                <w:color w:val="000000"/>
                <w:kern w:val="0"/>
                <w:sz w:val="24"/>
                <w:szCs w:val="24"/>
                <w:lang w:eastAsia="en-AU"/>
                <w14:ligatures w14:val="none"/>
              </w:rPr>
            </w:pPr>
            <w:r w:rsidRPr="009E3708">
              <w:rPr>
                <w:rFonts w:ascii="Times New Roman" w:hAnsi="Times New Roman" w:cs="Times New Roman"/>
                <w:sz w:val="24"/>
                <w:szCs w:val="24"/>
              </w:rPr>
              <w:t>Platform launch and data collection cycle 1; interim analysis; first surveillance summary and service/community dissemination.</w:t>
            </w:r>
          </w:p>
        </w:tc>
      </w:tr>
      <w:tr w:rsidR="004A2939" w:rsidRPr="00B257CF" w14:paraId="0F94D232" w14:textId="77777777" w:rsidTr="00042976">
        <w:trPr>
          <w:trHeight w:val="70"/>
        </w:trPr>
        <w:tc>
          <w:tcPr>
            <w:tcW w:w="1985" w:type="dxa"/>
            <w:vAlign w:val="center"/>
            <w:hideMark/>
          </w:tcPr>
          <w:p w14:paraId="70658B23" w14:textId="4A6D37F0" w:rsidR="004A2939" w:rsidRPr="009E3708" w:rsidRDefault="004A2939" w:rsidP="00042976">
            <w:pPr>
              <w:spacing w:after="0" w:line="240" w:lineRule="auto"/>
              <w:rPr>
                <w:rFonts w:ascii="Times New Roman" w:eastAsia="Times New Roman" w:hAnsi="Times New Roman" w:cs="Times New Roman"/>
                <w:b/>
                <w:bCs/>
                <w:kern w:val="0"/>
                <w:sz w:val="24"/>
                <w:szCs w:val="24"/>
                <w:lang w:eastAsia="en-AU"/>
                <w14:ligatures w14:val="none"/>
              </w:rPr>
            </w:pPr>
            <w:r w:rsidRPr="009E3708">
              <w:rPr>
                <w:rFonts w:ascii="Times New Roman" w:eastAsia="Times New Roman" w:hAnsi="Times New Roman" w:cs="Times New Roman"/>
                <w:b/>
                <w:bCs/>
                <w:kern w:val="0"/>
                <w:sz w:val="24"/>
                <w:szCs w:val="24"/>
                <w:lang w:eastAsia="en-AU"/>
                <w14:ligatures w14:val="none"/>
              </w:rPr>
              <w:t>Q3 (</w:t>
            </w:r>
            <w:r w:rsidRPr="009E3708">
              <w:rPr>
                <w:rFonts w:ascii="Times New Roman" w:hAnsi="Times New Roman" w:cs="Times New Roman"/>
                <w:b/>
                <w:bCs/>
                <w:sz w:val="24"/>
                <w:szCs w:val="24"/>
              </w:rPr>
              <w:t>Feb 2027–April 2027</w:t>
            </w:r>
            <w:r w:rsidRPr="009E3708">
              <w:rPr>
                <w:rFonts w:ascii="Times New Roman" w:eastAsia="Times New Roman" w:hAnsi="Times New Roman" w:cs="Times New Roman"/>
                <w:b/>
                <w:bCs/>
                <w:kern w:val="0"/>
                <w:sz w:val="24"/>
                <w:szCs w:val="24"/>
                <w:lang w:eastAsia="en-AU"/>
                <w14:ligatures w14:val="none"/>
              </w:rPr>
              <w:t>)</w:t>
            </w:r>
          </w:p>
        </w:tc>
        <w:tc>
          <w:tcPr>
            <w:tcW w:w="7082" w:type="dxa"/>
            <w:vAlign w:val="center"/>
            <w:hideMark/>
          </w:tcPr>
          <w:p w14:paraId="0297AB57" w14:textId="77777777" w:rsidR="004A2939" w:rsidRPr="009E3708" w:rsidRDefault="004A2939" w:rsidP="00042976">
            <w:pPr>
              <w:spacing w:after="0" w:line="240" w:lineRule="auto"/>
              <w:jc w:val="both"/>
              <w:rPr>
                <w:rFonts w:ascii="Times New Roman" w:eastAsia="Times New Roman" w:hAnsi="Times New Roman" w:cs="Times New Roman"/>
                <w:color w:val="000000"/>
                <w:kern w:val="0"/>
                <w:sz w:val="24"/>
                <w:szCs w:val="24"/>
                <w:lang w:eastAsia="en-AU"/>
                <w14:ligatures w14:val="none"/>
              </w:rPr>
            </w:pPr>
            <w:r w:rsidRPr="009E3708">
              <w:rPr>
                <w:rFonts w:ascii="Times New Roman" w:hAnsi="Times New Roman" w:cs="Times New Roman"/>
                <w:sz w:val="24"/>
                <w:szCs w:val="24"/>
              </w:rPr>
              <w:t>Data collection cycle 2; comparative analyses; second surveillance summary and targeted dissemination activities.</w:t>
            </w:r>
          </w:p>
        </w:tc>
      </w:tr>
      <w:tr w:rsidR="004A2939" w:rsidRPr="00B257CF" w14:paraId="216E0D8B" w14:textId="77777777" w:rsidTr="00042976">
        <w:trPr>
          <w:trHeight w:val="1125"/>
        </w:trPr>
        <w:tc>
          <w:tcPr>
            <w:tcW w:w="1985" w:type="dxa"/>
            <w:vAlign w:val="center"/>
            <w:hideMark/>
          </w:tcPr>
          <w:p w14:paraId="5B50745F" w14:textId="77777777" w:rsidR="004A2939" w:rsidRPr="009E3708" w:rsidRDefault="004A2939" w:rsidP="00042976">
            <w:pPr>
              <w:spacing w:after="0" w:line="240" w:lineRule="auto"/>
              <w:rPr>
                <w:rFonts w:ascii="Times New Roman" w:eastAsia="Times New Roman" w:hAnsi="Times New Roman" w:cs="Times New Roman"/>
                <w:b/>
                <w:bCs/>
                <w:kern w:val="0"/>
                <w:sz w:val="24"/>
                <w:szCs w:val="24"/>
                <w:lang w:eastAsia="en-AU"/>
                <w14:ligatures w14:val="none"/>
              </w:rPr>
            </w:pPr>
            <w:r w:rsidRPr="009E3708">
              <w:rPr>
                <w:rFonts w:ascii="Times New Roman" w:eastAsia="Times New Roman" w:hAnsi="Times New Roman" w:cs="Times New Roman"/>
                <w:b/>
                <w:bCs/>
                <w:kern w:val="0"/>
                <w:sz w:val="24"/>
                <w:szCs w:val="24"/>
                <w:lang w:eastAsia="en-AU"/>
                <w14:ligatures w14:val="none"/>
              </w:rPr>
              <w:t>Q4 (</w:t>
            </w:r>
            <w:r w:rsidRPr="009E3708">
              <w:rPr>
                <w:rFonts w:ascii="Times New Roman" w:hAnsi="Times New Roman" w:cs="Times New Roman"/>
                <w:b/>
                <w:bCs/>
                <w:sz w:val="24"/>
                <w:szCs w:val="24"/>
              </w:rPr>
              <w:t>April 2027–June 2027</w:t>
            </w:r>
            <w:r w:rsidRPr="009E3708">
              <w:rPr>
                <w:rFonts w:ascii="Times New Roman" w:eastAsia="Times New Roman" w:hAnsi="Times New Roman" w:cs="Times New Roman"/>
                <w:b/>
                <w:bCs/>
                <w:kern w:val="0"/>
                <w:sz w:val="24"/>
                <w:szCs w:val="24"/>
                <w:lang w:eastAsia="en-AU"/>
                <w14:ligatures w14:val="none"/>
              </w:rPr>
              <w:t>)</w:t>
            </w:r>
          </w:p>
        </w:tc>
        <w:tc>
          <w:tcPr>
            <w:tcW w:w="7082" w:type="dxa"/>
            <w:vAlign w:val="center"/>
            <w:hideMark/>
          </w:tcPr>
          <w:p w14:paraId="388D57CC" w14:textId="77777777" w:rsidR="004A2939" w:rsidRPr="009E3708" w:rsidRDefault="004A2939" w:rsidP="00042976">
            <w:pPr>
              <w:spacing w:after="0" w:line="240" w:lineRule="auto"/>
              <w:jc w:val="both"/>
              <w:rPr>
                <w:rFonts w:ascii="Times New Roman" w:eastAsia="Times New Roman" w:hAnsi="Times New Roman" w:cs="Times New Roman"/>
                <w:color w:val="000000"/>
                <w:kern w:val="0"/>
                <w:sz w:val="24"/>
                <w:szCs w:val="24"/>
                <w:lang w:eastAsia="en-AU"/>
                <w14:ligatures w14:val="none"/>
              </w:rPr>
            </w:pPr>
            <w:r w:rsidRPr="009E3708">
              <w:rPr>
                <w:rFonts w:ascii="Times New Roman" w:hAnsi="Times New Roman" w:cs="Times New Roman"/>
                <w:sz w:val="24"/>
                <w:szCs w:val="24"/>
              </w:rPr>
              <w:t>Cross-cycle synthesis; final report and policy brief; stakeholder briefings and knowledge translation. Dissemination of findings to stakeholders, including service partners and peer organisations, to inform practice and resource development.</w:t>
            </w:r>
          </w:p>
        </w:tc>
      </w:tr>
    </w:tbl>
    <w:p w14:paraId="68023B09" w14:textId="7C19ADE5" w:rsidR="004A2939" w:rsidRPr="00EF4A44" w:rsidRDefault="004B7C40" w:rsidP="004A2939">
      <w:pPr>
        <w:rPr>
          <w:rFonts w:ascii="Times New Roman" w:hAnsi="Times New Roman" w:cs="Times New Roman"/>
          <w:b/>
          <w:bCs/>
          <w:sz w:val="24"/>
          <w:szCs w:val="24"/>
          <w:u w:val="single"/>
        </w:rPr>
      </w:pPr>
      <w:r>
        <w:rPr>
          <w:rFonts w:ascii="Times New Roman" w:hAnsi="Times New Roman" w:cs="Times New Roman"/>
          <w:b/>
          <w:bCs/>
          <w:sz w:val="24"/>
          <w:szCs w:val="24"/>
          <w:u w:val="single"/>
        </w:rPr>
        <w:br/>
      </w:r>
      <w:r w:rsidR="004A2939" w:rsidRPr="00EF4A44">
        <w:rPr>
          <w:rFonts w:ascii="Times New Roman" w:hAnsi="Times New Roman" w:cs="Times New Roman"/>
          <w:b/>
          <w:bCs/>
          <w:sz w:val="24"/>
          <w:szCs w:val="24"/>
          <w:u w:val="single"/>
        </w:rPr>
        <w:t>References</w:t>
      </w:r>
    </w:p>
    <w:p w14:paraId="389FAE8C"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w:t>
      </w:r>
      <w:r w:rsidRPr="00EF4A44">
        <w:rPr>
          <w:rFonts w:ascii="Times New Roman" w:hAnsi="Times New Roman" w:cs="Times New Roman"/>
          <w:noProof/>
        </w:rPr>
        <w:tab/>
        <w:t>Magnolini R, Falcato L, Cremonesi A, Schori D, Bruggmann P. Fake anabolic androgenic steroids on the black market–a systematic review and meta-analysis on qualitative and quantitative analytical results found within the literature. BMC Public Health. 2022;22(1):1-15.</w:t>
      </w:r>
    </w:p>
    <w:p w14:paraId="60F80860"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2.</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Dunn M. Navigating Risks and Reducing Harm: A Gendered Analysis of Anabolic–Androgenic Steroid Users Within the Risk Environment Framework. Contemporary Drug Problems. 2024:00914509241249292.</w:t>
      </w:r>
    </w:p>
    <w:p w14:paraId="26662AB6"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3.</w:t>
      </w:r>
      <w:r w:rsidRPr="00EF4A44">
        <w:rPr>
          <w:rFonts w:ascii="Times New Roman" w:hAnsi="Times New Roman" w:cs="Times New Roman"/>
          <w:noProof/>
        </w:rPr>
        <w:tab/>
      </w:r>
      <w:r w:rsidRPr="00A50DC6">
        <w:rPr>
          <w:rFonts w:ascii="Times New Roman" w:hAnsi="Times New Roman" w:cs="Times New Roman"/>
          <w:b/>
          <w:bCs/>
          <w:noProof/>
        </w:rPr>
        <w:t>Bonenti B,</w:t>
      </w:r>
      <w:r w:rsidRPr="00EF4A44">
        <w:rPr>
          <w:rFonts w:ascii="Times New Roman" w:hAnsi="Times New Roman" w:cs="Times New Roman"/>
          <w:noProof/>
        </w:rPr>
        <w:t xml:space="preserve"> Kerswell N, Shuttlesworth G, Lim C, </w:t>
      </w:r>
      <w:r w:rsidRPr="00A50DC6">
        <w:rPr>
          <w:rFonts w:ascii="Times New Roman" w:hAnsi="Times New Roman" w:cs="Times New Roman"/>
          <w:b/>
          <w:bCs/>
          <w:noProof/>
        </w:rPr>
        <w:t>Ferris J,</w:t>
      </w:r>
      <w:r w:rsidRPr="00EF4A44">
        <w:rPr>
          <w:rFonts w:ascii="Times New Roman" w:hAnsi="Times New Roman" w:cs="Times New Roman"/>
          <w:noProof/>
        </w:rPr>
        <w:t xml:space="preserve"> O’Connor T, et al. Confidence in Managing Use and Minimising Harm as Mediators of Quality of Life among Anabolic-Androgenic Steroid Consumers in Alcohol and Other Drug Treatment Settings. European Addiction Research. Under Review.</w:t>
      </w:r>
    </w:p>
    <w:p w14:paraId="388147CF"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lastRenderedPageBreak/>
        <w:t>4.</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Havnes IA, </w:t>
      </w:r>
      <w:r w:rsidRPr="00A50DC6">
        <w:rPr>
          <w:rFonts w:ascii="Times New Roman" w:hAnsi="Times New Roman" w:cs="Times New Roman"/>
          <w:b/>
          <w:bCs/>
          <w:noProof/>
        </w:rPr>
        <w:t>Kill E,</w:t>
      </w:r>
      <w:r w:rsidRPr="00EF4A44">
        <w:rPr>
          <w:rFonts w:ascii="Times New Roman" w:hAnsi="Times New Roman" w:cs="Times New Roman"/>
          <w:noProof/>
        </w:rPr>
        <w:t xml:space="preserve"> Barratt MJ. “The compounds for females are really commonly faked!”: Women's challenges in anabolic steroid acquisition and the place of drug checking interventions. Drug and Alcohol Review. 2024;43(7):1962-6.</w:t>
      </w:r>
    </w:p>
    <w:p w14:paraId="52AC92CF"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5.</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Puljevic C, </w:t>
      </w:r>
      <w:r w:rsidRPr="00A50DC6">
        <w:rPr>
          <w:rFonts w:ascii="Times New Roman" w:hAnsi="Times New Roman" w:cs="Times New Roman"/>
          <w:b/>
          <w:bCs/>
          <w:noProof/>
        </w:rPr>
        <w:t xml:space="preserve">Ferris J, </w:t>
      </w:r>
      <w:r w:rsidRPr="00EF4A44">
        <w:rPr>
          <w:rFonts w:ascii="Times New Roman" w:hAnsi="Times New Roman" w:cs="Times New Roman"/>
          <w:noProof/>
        </w:rPr>
        <w:t>Francis C, Matthew D. They sent it away for testing and it was all bunk”: Exploring perspectives on drug checking among steroid consumers in Queensland, Australia. International Journal of Drug Policy. 2023.</w:t>
      </w:r>
    </w:p>
    <w:p w14:paraId="4188FB65"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6.</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Magnolini R. Toward a Coordinated Global Response to Anabolic‐Androgenic Steroid Consumption: Lessons From the World's Current Steroid Checking Initiatives. Drug and Alcohol Review. 2026;45(1):e70075.</w:t>
      </w:r>
    </w:p>
    <w:p w14:paraId="3F21369F"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7.</w:t>
      </w:r>
      <w:r w:rsidRPr="00EF4A44">
        <w:rPr>
          <w:rFonts w:ascii="Times New Roman" w:hAnsi="Times New Roman" w:cs="Times New Roman"/>
          <w:noProof/>
        </w:rPr>
        <w:tab/>
      </w:r>
      <w:r w:rsidRPr="00A50DC6">
        <w:rPr>
          <w:rFonts w:ascii="Times New Roman" w:hAnsi="Times New Roman" w:cs="Times New Roman"/>
          <w:b/>
          <w:bCs/>
          <w:noProof/>
        </w:rPr>
        <w:t>Craven A,</w:t>
      </w:r>
      <w:r w:rsidRPr="00EF4A44">
        <w:rPr>
          <w:rFonts w:ascii="Times New Roman" w:hAnsi="Times New Roman" w:cs="Times New Roman"/>
          <w:noProof/>
        </w:rPr>
        <w:t xml:space="preserve"> </w:t>
      </w:r>
      <w:r w:rsidRPr="00A50DC6">
        <w:rPr>
          <w:rFonts w:ascii="Times New Roman" w:hAnsi="Times New Roman" w:cs="Times New Roman"/>
          <w:b/>
          <w:bCs/>
          <w:noProof/>
        </w:rPr>
        <w:t>Ferris J,</w:t>
      </w:r>
      <w:r w:rsidRPr="00EF4A44">
        <w:rPr>
          <w:rFonts w:ascii="Times New Roman" w:hAnsi="Times New Roman" w:cs="Times New Roman"/>
          <w:noProof/>
        </w:rPr>
        <w:t xml:space="preserve"> Nielsen S, </w:t>
      </w:r>
      <w:r w:rsidRPr="00A50DC6">
        <w:rPr>
          <w:rFonts w:ascii="Times New Roman" w:hAnsi="Times New Roman" w:cs="Times New Roman"/>
          <w:b/>
          <w:bCs/>
          <w:noProof/>
        </w:rPr>
        <w:t>Piatkowski T.</w:t>
      </w:r>
      <w:r w:rsidRPr="00EF4A44">
        <w:rPr>
          <w:rFonts w:ascii="Times New Roman" w:hAnsi="Times New Roman" w:cs="Times New Roman"/>
          <w:noProof/>
        </w:rPr>
        <w:t xml:space="preserve"> Lead Astray? The Hidden Contaminants in Australian Anabolic–Androgenic Steroid Market and Their Potential Health Impact. Drug and Alcohol Review. 2025.</w:t>
      </w:r>
    </w:p>
    <w:p w14:paraId="78393EEF"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8.</w:t>
      </w:r>
      <w:r w:rsidRPr="00EF4A44">
        <w:rPr>
          <w:rFonts w:ascii="Times New Roman" w:hAnsi="Times New Roman" w:cs="Times New Roman"/>
          <w:noProof/>
        </w:rPr>
        <w:tab/>
      </w:r>
      <w:r w:rsidRPr="00A50DC6">
        <w:rPr>
          <w:rFonts w:ascii="Times New Roman" w:hAnsi="Times New Roman" w:cs="Times New Roman"/>
          <w:b/>
          <w:bCs/>
          <w:noProof/>
        </w:rPr>
        <w:t xml:space="preserve">Piatkowski T, </w:t>
      </w:r>
      <w:r w:rsidRPr="00EF4A44">
        <w:rPr>
          <w:rFonts w:ascii="Times New Roman" w:hAnsi="Times New Roman" w:cs="Times New Roman"/>
          <w:noProof/>
        </w:rPr>
        <w:t xml:space="preserve">Coomber R, Francis C, </w:t>
      </w:r>
      <w:r w:rsidRPr="00A50DC6">
        <w:rPr>
          <w:rFonts w:ascii="Times New Roman" w:hAnsi="Times New Roman" w:cs="Times New Roman"/>
          <w:b/>
          <w:bCs/>
          <w:noProof/>
        </w:rPr>
        <w:t xml:space="preserve">Kill E, Davey G, </w:t>
      </w:r>
      <w:r w:rsidRPr="00EF4A44">
        <w:rPr>
          <w:rFonts w:ascii="Times New Roman" w:hAnsi="Times New Roman" w:cs="Times New Roman"/>
          <w:noProof/>
        </w:rPr>
        <w:t>Cresswell S, et al. The world's first anabolic-androgenic steroid testing trial: A two-phase pilot combining chemical analysis, results dissemination and community feedback. Addiction (Abingdon, England). 2025.</w:t>
      </w:r>
    </w:p>
    <w:p w14:paraId="47305A79"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9.</w:t>
      </w:r>
      <w:r w:rsidRPr="00EF4A44">
        <w:rPr>
          <w:rFonts w:ascii="Times New Roman" w:hAnsi="Times New Roman" w:cs="Times New Roman"/>
          <w:noProof/>
        </w:rPr>
        <w:tab/>
        <w:t>Magnolini R, Kaeppeli M, Schori D, Bruggmann P, Senn O. Evaluation of implementing drug checking services for anabolic androgenic steroids in Switzerland: a pilot study. Harm Reduction Journal. 2025;22(1):1-13.</w:t>
      </w:r>
    </w:p>
    <w:p w14:paraId="250BB358"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10.</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Coomber R, Francis C, </w:t>
      </w:r>
      <w:r w:rsidRPr="00A50DC6">
        <w:rPr>
          <w:rFonts w:ascii="Times New Roman" w:hAnsi="Times New Roman" w:cs="Times New Roman"/>
          <w:b/>
          <w:bCs/>
          <w:noProof/>
        </w:rPr>
        <w:t>Kill E, Davey G,</w:t>
      </w:r>
      <w:r w:rsidRPr="00EF4A44">
        <w:rPr>
          <w:rFonts w:ascii="Times New Roman" w:hAnsi="Times New Roman" w:cs="Times New Roman"/>
          <w:noProof/>
        </w:rPr>
        <w:t xml:space="preserve"> Cresswell S, et al. Anabolic-androgenic steroid testing as a tool for consumer engagement and harm reduction: a sequential explanatory mixed-method study. Harm Reduction Journal. 2025;22(1):114.</w:t>
      </w:r>
    </w:p>
    <w:p w14:paraId="4CEBF336"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11.</w:t>
      </w:r>
      <w:r w:rsidRPr="00EF4A44">
        <w:rPr>
          <w:rFonts w:ascii="Times New Roman" w:hAnsi="Times New Roman" w:cs="Times New Roman"/>
          <w:noProof/>
        </w:rPr>
        <w:tab/>
        <w:t>Maghsoudi N, Tanguay J, Scarfone K, Rammohan I, Ziegler C, Werb D, et al. Drug checking services for people who use drugs: a systematic review. Addiction. 2022;117(3):532-44.</w:t>
      </w:r>
    </w:p>
    <w:p w14:paraId="12DE39F5"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12.</w:t>
      </w:r>
      <w:r w:rsidRPr="00EF4A44">
        <w:rPr>
          <w:rFonts w:ascii="Times New Roman" w:hAnsi="Times New Roman" w:cs="Times New Roman"/>
          <w:noProof/>
        </w:rPr>
        <w:tab/>
        <w:t xml:space="preserve">Cox L, </w:t>
      </w:r>
      <w:r w:rsidRPr="00A50DC6">
        <w:rPr>
          <w:rFonts w:ascii="Times New Roman" w:hAnsi="Times New Roman" w:cs="Times New Roman"/>
          <w:b/>
          <w:bCs/>
          <w:noProof/>
        </w:rPr>
        <w:t>Piatkowski T,</w:t>
      </w:r>
      <w:r w:rsidRPr="00EF4A44">
        <w:rPr>
          <w:rFonts w:ascii="Times New Roman" w:hAnsi="Times New Roman" w:cs="Times New Roman"/>
          <w:noProof/>
        </w:rPr>
        <w:t xml:space="preserve"> McVeigh J. “I would never go to the doctor and speak about steroids”: Anabolic androgenic steroids, stigma and harm. Drugs: Education, Prevention and Policy. 2024:1-13.</w:t>
      </w:r>
    </w:p>
    <w:p w14:paraId="72622F96" w14:textId="77777777" w:rsidR="004A2939" w:rsidRPr="00EF4A44"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13.</w:t>
      </w:r>
      <w:r w:rsidRPr="00EF4A44">
        <w:rPr>
          <w:rFonts w:ascii="Times New Roman" w:hAnsi="Times New Roman" w:cs="Times New Roman"/>
          <w:noProof/>
        </w:rPr>
        <w:tab/>
      </w:r>
      <w:r w:rsidRPr="00A50DC6">
        <w:rPr>
          <w:rFonts w:ascii="Times New Roman" w:hAnsi="Times New Roman" w:cs="Times New Roman"/>
          <w:b/>
          <w:bCs/>
          <w:noProof/>
        </w:rPr>
        <w:t>Bonenti B, Craven A, Ferris J,</w:t>
      </w:r>
      <w:r w:rsidRPr="00EF4A44">
        <w:rPr>
          <w:rFonts w:ascii="Times New Roman" w:hAnsi="Times New Roman" w:cs="Times New Roman"/>
          <w:noProof/>
        </w:rPr>
        <w:t xml:space="preserve"> Walsh C, Armstrong M, </w:t>
      </w:r>
      <w:r w:rsidRPr="00A50DC6">
        <w:rPr>
          <w:rFonts w:ascii="Times New Roman" w:hAnsi="Times New Roman" w:cs="Times New Roman"/>
          <w:b/>
          <w:bCs/>
          <w:noProof/>
        </w:rPr>
        <w:t>Piatkowski T.</w:t>
      </w:r>
      <w:r w:rsidRPr="00EF4A44">
        <w:rPr>
          <w:rFonts w:ascii="Times New Roman" w:hAnsi="Times New Roman" w:cs="Times New Roman"/>
          <w:noProof/>
        </w:rPr>
        <w:t xml:space="preserve"> Investigating the Legitimacy of Anabolic-Androgenic Steroids in Australia’s Unregulated Market Using Community Testing Data. Substance Use and Addiction Journal. 2026.</w:t>
      </w:r>
    </w:p>
    <w:p w14:paraId="3BC8878D" w14:textId="77777777" w:rsidR="004A2939" w:rsidRDefault="004A2939" w:rsidP="00A50DC6">
      <w:pPr>
        <w:pStyle w:val="EndNoteBibliography"/>
        <w:spacing w:after="0"/>
        <w:jc w:val="both"/>
        <w:rPr>
          <w:rFonts w:ascii="Times New Roman" w:hAnsi="Times New Roman" w:cs="Times New Roman"/>
          <w:noProof/>
        </w:rPr>
      </w:pPr>
      <w:r w:rsidRPr="00EF4A44">
        <w:rPr>
          <w:rFonts w:ascii="Times New Roman" w:hAnsi="Times New Roman" w:cs="Times New Roman"/>
          <w:noProof/>
        </w:rPr>
        <w:t>14.</w:t>
      </w:r>
      <w:r w:rsidRPr="00EF4A44">
        <w:rPr>
          <w:rFonts w:ascii="Times New Roman" w:hAnsi="Times New Roman" w:cs="Times New Roman"/>
          <w:noProof/>
        </w:rPr>
        <w:tab/>
      </w:r>
      <w:r w:rsidRPr="00A50DC6">
        <w:rPr>
          <w:rFonts w:ascii="Times New Roman" w:hAnsi="Times New Roman" w:cs="Times New Roman"/>
          <w:b/>
          <w:bCs/>
          <w:noProof/>
        </w:rPr>
        <w:t>Piatkowski T,</w:t>
      </w:r>
      <w:r w:rsidRPr="00EF4A44">
        <w:rPr>
          <w:rFonts w:ascii="Times New Roman" w:hAnsi="Times New Roman" w:cs="Times New Roman"/>
          <w:noProof/>
        </w:rPr>
        <w:t xml:space="preserve"> Weith S, </w:t>
      </w:r>
      <w:r w:rsidRPr="00A50DC6">
        <w:rPr>
          <w:rFonts w:ascii="Times New Roman" w:hAnsi="Times New Roman" w:cs="Times New Roman"/>
          <w:b/>
          <w:bCs/>
          <w:noProof/>
        </w:rPr>
        <w:t xml:space="preserve">Kill E, </w:t>
      </w:r>
      <w:r w:rsidRPr="00EF4A44">
        <w:rPr>
          <w:rFonts w:ascii="Times New Roman" w:hAnsi="Times New Roman" w:cs="Times New Roman"/>
          <w:noProof/>
        </w:rPr>
        <w:t xml:space="preserve">Francis C, </w:t>
      </w:r>
      <w:r w:rsidRPr="00A50DC6">
        <w:rPr>
          <w:rFonts w:ascii="Times New Roman" w:hAnsi="Times New Roman" w:cs="Times New Roman"/>
          <w:b/>
          <w:bCs/>
          <w:noProof/>
        </w:rPr>
        <w:t>Davey G,</w:t>
      </w:r>
      <w:r w:rsidRPr="00EF4A44">
        <w:rPr>
          <w:rFonts w:ascii="Times New Roman" w:hAnsi="Times New Roman" w:cs="Times New Roman"/>
          <w:noProof/>
        </w:rPr>
        <w:t xml:space="preserve"> Coomber R, et al. Co-producing a peer-led health conversation tool for Australia’s harm reduction workforce to facilitate safer use of anabolic-androgenic steroids. Harm Reduction Journal. 2025.</w:t>
      </w:r>
    </w:p>
    <w:p w14:paraId="3155C957" w14:textId="368BD775" w:rsidR="004A2939" w:rsidRDefault="004A2939" w:rsidP="00A50DC6">
      <w:pPr>
        <w:pStyle w:val="EndNoteBibliography"/>
        <w:spacing w:after="0"/>
        <w:jc w:val="both"/>
        <w:rPr>
          <w:rFonts w:ascii="Times New Roman" w:hAnsi="Times New Roman" w:cs="Times New Roman"/>
          <w:noProof/>
        </w:rPr>
      </w:pPr>
      <w:r>
        <w:rPr>
          <w:rFonts w:ascii="Times New Roman" w:hAnsi="Times New Roman" w:cs="Times New Roman"/>
          <w:noProof/>
        </w:rPr>
        <w:t>1</w:t>
      </w:r>
      <w:r w:rsidR="00A50DC6">
        <w:rPr>
          <w:rFonts w:ascii="Times New Roman" w:hAnsi="Times New Roman" w:cs="Times New Roman"/>
          <w:noProof/>
        </w:rPr>
        <w:t>5</w:t>
      </w:r>
      <w:r>
        <w:rPr>
          <w:rFonts w:ascii="Times New Roman" w:hAnsi="Times New Roman" w:cs="Times New Roman"/>
          <w:noProof/>
        </w:rPr>
        <w:t xml:space="preserve">.        </w:t>
      </w:r>
      <w:r w:rsidRPr="00A50DC6">
        <w:rPr>
          <w:rFonts w:ascii="Times New Roman" w:hAnsi="Times New Roman" w:cs="Times New Roman"/>
          <w:b/>
          <w:bCs/>
          <w:noProof/>
        </w:rPr>
        <w:t xml:space="preserve">Akrigg K, </w:t>
      </w:r>
      <w:r w:rsidRPr="002C68A9">
        <w:rPr>
          <w:rFonts w:ascii="Times New Roman" w:hAnsi="Times New Roman" w:cs="Times New Roman"/>
          <w:noProof/>
        </w:rPr>
        <w:t xml:space="preserve">Grobler E, Reeve S, Coomber R, Barratt M, Francis C, Kill E, Walters BG, Cresswell S, Harding M, White A, Blakey K, Puljevic C, </w:t>
      </w:r>
      <w:r w:rsidRPr="00A50DC6">
        <w:rPr>
          <w:rFonts w:ascii="Times New Roman" w:hAnsi="Times New Roman" w:cs="Times New Roman"/>
          <w:b/>
          <w:bCs/>
          <w:noProof/>
        </w:rPr>
        <w:t>Ferris J, Piatkowski T.</w:t>
      </w:r>
      <w:r w:rsidRPr="002C68A9">
        <w:rPr>
          <w:rFonts w:ascii="Times New Roman" w:hAnsi="Times New Roman" w:cs="Times New Roman"/>
          <w:noProof/>
        </w:rPr>
        <w:t xml:space="preserve"> The world-first steroid checking trial: a technical report of the findings from a multi-wave mixed-methods program. Brisbane (AU): Griffith University; 2025. Available from: </w:t>
      </w:r>
      <w:r w:rsidRPr="002769CE">
        <w:rPr>
          <w:rFonts w:ascii="Times New Roman" w:hAnsi="Times New Roman" w:cs="Times New Roman"/>
          <w:noProof/>
        </w:rPr>
        <w:t>https://hi-ground.org/app/uploads/2025/05/The-World-First-Steroid-Checking-TrialWave-3-Report-2.pdf</w:t>
      </w:r>
    </w:p>
    <w:p w14:paraId="4319EEF7" w14:textId="5934B1BC" w:rsidR="004A2939" w:rsidRDefault="004A2939" w:rsidP="00A50DC6">
      <w:pPr>
        <w:pStyle w:val="EndNoteBibliography"/>
        <w:spacing w:after="0"/>
        <w:jc w:val="both"/>
        <w:rPr>
          <w:rFonts w:ascii="Times New Roman" w:hAnsi="Times New Roman" w:cs="Times New Roman"/>
          <w:noProof/>
        </w:rPr>
      </w:pPr>
      <w:r>
        <w:rPr>
          <w:rFonts w:ascii="Times New Roman" w:hAnsi="Times New Roman" w:cs="Times New Roman"/>
          <w:noProof/>
        </w:rPr>
        <w:t>1</w:t>
      </w:r>
      <w:r w:rsidR="00A50DC6">
        <w:rPr>
          <w:rFonts w:ascii="Times New Roman" w:hAnsi="Times New Roman" w:cs="Times New Roman"/>
          <w:noProof/>
        </w:rPr>
        <w:t>6</w:t>
      </w:r>
      <w:r>
        <w:rPr>
          <w:rFonts w:ascii="Times New Roman" w:hAnsi="Times New Roman" w:cs="Times New Roman"/>
          <w:noProof/>
        </w:rPr>
        <w:t xml:space="preserve">.        </w:t>
      </w:r>
      <w:r w:rsidRPr="00A50DC6">
        <w:rPr>
          <w:rFonts w:ascii="Times New Roman" w:hAnsi="Times New Roman" w:cs="Times New Roman"/>
          <w:b/>
          <w:bCs/>
          <w:noProof/>
        </w:rPr>
        <w:t>Piatkowski T, Akrigg K,</w:t>
      </w:r>
      <w:r w:rsidRPr="002C68A9">
        <w:rPr>
          <w:rFonts w:ascii="Times New Roman" w:hAnsi="Times New Roman" w:cs="Times New Roman"/>
          <w:noProof/>
        </w:rPr>
        <w:t xml:space="preserve"> Cox L, Bradshaw A, Vigorous S. Anything but androgens: how image and performance enhancing drug consumers manage body composition and health through off-label use of medicines. Performance Enhancement &amp; Health. 2025;0(0):1–14.</w:t>
      </w:r>
    </w:p>
    <w:p w14:paraId="54F143D5" w14:textId="10DD8C66" w:rsidR="004A2939" w:rsidRDefault="004A2939" w:rsidP="00A50DC6">
      <w:pPr>
        <w:pStyle w:val="EndNoteBibliography"/>
        <w:spacing w:after="0"/>
        <w:jc w:val="both"/>
        <w:rPr>
          <w:rFonts w:ascii="Times New Roman" w:hAnsi="Times New Roman" w:cs="Times New Roman"/>
          <w:noProof/>
        </w:rPr>
      </w:pPr>
      <w:r>
        <w:rPr>
          <w:rFonts w:ascii="Times New Roman" w:hAnsi="Times New Roman" w:cs="Times New Roman"/>
          <w:noProof/>
        </w:rPr>
        <w:t>1</w:t>
      </w:r>
      <w:r w:rsidR="00A50DC6">
        <w:rPr>
          <w:rFonts w:ascii="Times New Roman" w:hAnsi="Times New Roman" w:cs="Times New Roman"/>
          <w:noProof/>
        </w:rPr>
        <w:t>7</w:t>
      </w:r>
      <w:r>
        <w:rPr>
          <w:rFonts w:ascii="Times New Roman" w:hAnsi="Times New Roman" w:cs="Times New Roman"/>
          <w:noProof/>
        </w:rPr>
        <w:t xml:space="preserve">.       </w:t>
      </w:r>
      <w:r w:rsidRPr="00A50DC6">
        <w:rPr>
          <w:rFonts w:ascii="Times New Roman" w:hAnsi="Times New Roman" w:cs="Times New Roman"/>
          <w:b/>
          <w:bCs/>
          <w:noProof/>
        </w:rPr>
        <w:t>Piatkowski T,</w:t>
      </w:r>
      <w:r w:rsidRPr="002769CE">
        <w:rPr>
          <w:rFonts w:ascii="Times New Roman" w:hAnsi="Times New Roman" w:cs="Times New Roman"/>
          <w:noProof/>
        </w:rPr>
        <w:t xml:space="preserve"> Kill E, Keating C, Brown G. Understanding the experiences of a new drug diversion program among people who use drugs in Queensland, Australia. Journal of Drug Issues. 2025;0(0):1–21.</w:t>
      </w:r>
    </w:p>
    <w:p w14:paraId="31C6C049" w14:textId="1AB1D991" w:rsidR="00DE5749" w:rsidRDefault="00DE5749" w:rsidP="00DE5749">
      <w:pPr>
        <w:pStyle w:val="EndNoteBibliography"/>
        <w:rPr>
          <w:rFonts w:ascii="Times New Roman" w:hAnsi="Times New Roman" w:cs="Times New Roman"/>
          <w:noProof/>
        </w:rPr>
      </w:pPr>
      <w:r>
        <w:rPr>
          <w:rFonts w:ascii="Times New Roman" w:hAnsi="Times New Roman" w:cs="Times New Roman"/>
          <w:noProof/>
        </w:rPr>
        <w:t>1</w:t>
      </w:r>
      <w:r w:rsidR="007C0D0E">
        <w:rPr>
          <w:rFonts w:ascii="Times New Roman" w:hAnsi="Times New Roman" w:cs="Times New Roman"/>
          <w:noProof/>
        </w:rPr>
        <w:t>8</w:t>
      </w:r>
      <w:r>
        <w:rPr>
          <w:rFonts w:ascii="Times New Roman" w:hAnsi="Times New Roman" w:cs="Times New Roman"/>
          <w:noProof/>
        </w:rPr>
        <w:t xml:space="preserve">.       </w:t>
      </w:r>
      <w:r w:rsidRPr="00DE5749">
        <w:rPr>
          <w:rFonts w:ascii="Times New Roman" w:hAnsi="Times New Roman" w:cs="Times New Roman"/>
          <w:b/>
          <w:bCs/>
          <w:noProof/>
        </w:rPr>
        <w:t>Piatkowski T, Kill E,</w:t>
      </w:r>
      <w:r w:rsidRPr="002769CE">
        <w:rPr>
          <w:rFonts w:ascii="Times New Roman" w:hAnsi="Times New Roman" w:cs="Times New Roman"/>
          <w:noProof/>
        </w:rPr>
        <w:t xml:space="preserve"> Keating C, Brown G. Understanding the experiences of a new drug diversion program among people who use drugs in Queensland, Australia. Journal of Drug Issues. 2025;0(0):1–21.</w:t>
      </w:r>
    </w:p>
    <w:p w14:paraId="055BE758" w14:textId="77777777" w:rsidR="00DE5749" w:rsidRDefault="00DE5749" w:rsidP="00A50DC6">
      <w:pPr>
        <w:pStyle w:val="EndNoteBibliography"/>
        <w:spacing w:after="0"/>
        <w:jc w:val="both"/>
        <w:rPr>
          <w:rFonts w:ascii="Times New Roman" w:hAnsi="Times New Roman" w:cs="Times New Roman"/>
          <w:noProof/>
        </w:rPr>
      </w:pPr>
    </w:p>
    <w:p w14:paraId="46C434DF" w14:textId="3E5EEE38" w:rsidR="004A2939" w:rsidRPr="00EF4A44" w:rsidRDefault="00A50DC6" w:rsidP="00A50DC6">
      <w:pPr>
        <w:pStyle w:val="EndNoteBibliography"/>
        <w:spacing w:after="0"/>
        <w:jc w:val="both"/>
        <w:rPr>
          <w:rFonts w:ascii="Times New Roman" w:hAnsi="Times New Roman" w:cs="Times New Roman"/>
          <w:noProof/>
        </w:rPr>
      </w:pPr>
      <w:r>
        <w:rPr>
          <w:rFonts w:ascii="Times New Roman" w:hAnsi="Times New Roman" w:cs="Times New Roman"/>
          <w:noProof/>
        </w:rPr>
        <w:lastRenderedPageBreak/>
        <w:t>1</w:t>
      </w:r>
      <w:r w:rsidR="007C0D0E">
        <w:rPr>
          <w:rFonts w:ascii="Times New Roman" w:hAnsi="Times New Roman" w:cs="Times New Roman"/>
          <w:noProof/>
        </w:rPr>
        <w:t>9</w:t>
      </w:r>
      <w:r w:rsidR="004A2939">
        <w:rPr>
          <w:rFonts w:ascii="Times New Roman" w:hAnsi="Times New Roman" w:cs="Times New Roman"/>
          <w:noProof/>
        </w:rPr>
        <w:t xml:space="preserve">.      </w:t>
      </w:r>
      <w:r w:rsidR="004A2939" w:rsidRPr="00BF015D">
        <w:rPr>
          <w:rFonts w:ascii="Times New Roman" w:hAnsi="Times New Roman" w:cs="Times New Roman"/>
          <w:noProof/>
        </w:rPr>
        <w:t xml:space="preserve">Mamic J, </w:t>
      </w:r>
      <w:r w:rsidR="004A2939" w:rsidRPr="00A50DC6">
        <w:rPr>
          <w:rFonts w:ascii="Times New Roman" w:hAnsi="Times New Roman" w:cs="Times New Roman"/>
          <w:b/>
          <w:bCs/>
          <w:noProof/>
        </w:rPr>
        <w:t>Davey G, Kill E,</w:t>
      </w:r>
      <w:r w:rsidR="004A2939" w:rsidRPr="00BF015D">
        <w:rPr>
          <w:rFonts w:ascii="Times New Roman" w:hAnsi="Times New Roman" w:cs="Times New Roman"/>
          <w:noProof/>
        </w:rPr>
        <w:t xml:space="preserve"> Reeve S, Cooper E, Panahi I, Spurling G, Brown G, </w:t>
      </w:r>
      <w:r w:rsidR="004A2939" w:rsidRPr="00A50DC6">
        <w:rPr>
          <w:rFonts w:ascii="Times New Roman" w:hAnsi="Times New Roman" w:cs="Times New Roman"/>
          <w:b/>
          <w:bCs/>
          <w:noProof/>
        </w:rPr>
        <w:t xml:space="preserve">Piatkowski T. </w:t>
      </w:r>
      <w:r w:rsidR="004A2939" w:rsidRPr="00BF015D">
        <w:rPr>
          <w:rFonts w:ascii="Times New Roman" w:hAnsi="Times New Roman" w:cs="Times New Roman"/>
          <w:noProof/>
        </w:rPr>
        <w:t>“A never-ending cycle”: the structural, economic and social (re)production of blood-borne virus transmission and bacterial infection amongst people who inject drugs in Queensland prisons. International Journal of Drug Policy. 2026;148:105126.</w:t>
      </w:r>
    </w:p>
    <w:p w14:paraId="0563E947" w14:textId="77777777" w:rsidR="004A2939" w:rsidRPr="004A2939" w:rsidRDefault="004A2939" w:rsidP="004A2939">
      <w:pPr>
        <w:rPr>
          <w:rFonts w:ascii="Times New Roman" w:hAnsi="Times New Roman" w:cs="Times New Roman"/>
          <w:sz w:val="24"/>
          <w:szCs w:val="24"/>
        </w:rPr>
      </w:pPr>
    </w:p>
    <w:sectPr w:rsidR="004A2939" w:rsidRPr="004A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B4B73"/>
    <w:multiLevelType w:val="hybridMultilevel"/>
    <w:tmpl w:val="8D2C7C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448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B6"/>
    <w:rsid w:val="00002DB6"/>
    <w:rsid w:val="000263F2"/>
    <w:rsid w:val="00041B59"/>
    <w:rsid w:val="00042976"/>
    <w:rsid w:val="000618B8"/>
    <w:rsid w:val="000A6325"/>
    <w:rsid w:val="000C7C31"/>
    <w:rsid w:val="000D37F3"/>
    <w:rsid w:val="000F702F"/>
    <w:rsid w:val="000F78F5"/>
    <w:rsid w:val="00105DD3"/>
    <w:rsid w:val="001110EE"/>
    <w:rsid w:val="00141BB7"/>
    <w:rsid w:val="0015090C"/>
    <w:rsid w:val="00174D84"/>
    <w:rsid w:val="001835D5"/>
    <w:rsid w:val="00187DB2"/>
    <w:rsid w:val="001B5F8B"/>
    <w:rsid w:val="001D61E8"/>
    <w:rsid w:val="001E43E0"/>
    <w:rsid w:val="00212878"/>
    <w:rsid w:val="00221D29"/>
    <w:rsid w:val="00254941"/>
    <w:rsid w:val="00257835"/>
    <w:rsid w:val="00273352"/>
    <w:rsid w:val="002B52C3"/>
    <w:rsid w:val="002E1831"/>
    <w:rsid w:val="002E58FA"/>
    <w:rsid w:val="003132F9"/>
    <w:rsid w:val="00331BBC"/>
    <w:rsid w:val="00355C25"/>
    <w:rsid w:val="003611A3"/>
    <w:rsid w:val="00363200"/>
    <w:rsid w:val="00370130"/>
    <w:rsid w:val="00391DE6"/>
    <w:rsid w:val="0039334F"/>
    <w:rsid w:val="003B017B"/>
    <w:rsid w:val="003E26FA"/>
    <w:rsid w:val="004000E1"/>
    <w:rsid w:val="0040489C"/>
    <w:rsid w:val="00413A35"/>
    <w:rsid w:val="00436073"/>
    <w:rsid w:val="004A2939"/>
    <w:rsid w:val="004B7C40"/>
    <w:rsid w:val="004C53D7"/>
    <w:rsid w:val="004C56CB"/>
    <w:rsid w:val="004F0AF0"/>
    <w:rsid w:val="004F7837"/>
    <w:rsid w:val="00502D89"/>
    <w:rsid w:val="00504D58"/>
    <w:rsid w:val="00511987"/>
    <w:rsid w:val="005225C0"/>
    <w:rsid w:val="00530930"/>
    <w:rsid w:val="0053665F"/>
    <w:rsid w:val="00544753"/>
    <w:rsid w:val="00544956"/>
    <w:rsid w:val="00562EE2"/>
    <w:rsid w:val="00593F86"/>
    <w:rsid w:val="005A5C49"/>
    <w:rsid w:val="005B235D"/>
    <w:rsid w:val="005F294B"/>
    <w:rsid w:val="006115D7"/>
    <w:rsid w:val="00633A15"/>
    <w:rsid w:val="00636265"/>
    <w:rsid w:val="0067298D"/>
    <w:rsid w:val="00676C8A"/>
    <w:rsid w:val="00685C1F"/>
    <w:rsid w:val="006A5021"/>
    <w:rsid w:val="006C1C3D"/>
    <w:rsid w:val="006F1163"/>
    <w:rsid w:val="00705B1C"/>
    <w:rsid w:val="00735439"/>
    <w:rsid w:val="00752580"/>
    <w:rsid w:val="0076079E"/>
    <w:rsid w:val="0076199C"/>
    <w:rsid w:val="00770D2A"/>
    <w:rsid w:val="00787058"/>
    <w:rsid w:val="007C0D0E"/>
    <w:rsid w:val="007C4408"/>
    <w:rsid w:val="007E316D"/>
    <w:rsid w:val="008009C5"/>
    <w:rsid w:val="008059F3"/>
    <w:rsid w:val="00814743"/>
    <w:rsid w:val="00854EEC"/>
    <w:rsid w:val="00895FC3"/>
    <w:rsid w:val="008A7F47"/>
    <w:rsid w:val="008D2E85"/>
    <w:rsid w:val="008D6AAD"/>
    <w:rsid w:val="008E217A"/>
    <w:rsid w:val="008F32F8"/>
    <w:rsid w:val="008F4030"/>
    <w:rsid w:val="008F4739"/>
    <w:rsid w:val="009102FC"/>
    <w:rsid w:val="00914FB8"/>
    <w:rsid w:val="0091633A"/>
    <w:rsid w:val="00925661"/>
    <w:rsid w:val="00944C3D"/>
    <w:rsid w:val="00961FDC"/>
    <w:rsid w:val="00994297"/>
    <w:rsid w:val="009C343B"/>
    <w:rsid w:val="009C58B6"/>
    <w:rsid w:val="009D4328"/>
    <w:rsid w:val="009D469B"/>
    <w:rsid w:val="009F0A55"/>
    <w:rsid w:val="00A2285F"/>
    <w:rsid w:val="00A259F0"/>
    <w:rsid w:val="00A42F01"/>
    <w:rsid w:val="00A50321"/>
    <w:rsid w:val="00A50DC6"/>
    <w:rsid w:val="00A61C13"/>
    <w:rsid w:val="00A62F3C"/>
    <w:rsid w:val="00A64476"/>
    <w:rsid w:val="00A66686"/>
    <w:rsid w:val="00A75CAF"/>
    <w:rsid w:val="00A85D00"/>
    <w:rsid w:val="00AB29F0"/>
    <w:rsid w:val="00AB6F14"/>
    <w:rsid w:val="00AD0E74"/>
    <w:rsid w:val="00AE5E0B"/>
    <w:rsid w:val="00B11269"/>
    <w:rsid w:val="00B17F48"/>
    <w:rsid w:val="00B34D9D"/>
    <w:rsid w:val="00B37B33"/>
    <w:rsid w:val="00B77E78"/>
    <w:rsid w:val="00B95014"/>
    <w:rsid w:val="00BA17F0"/>
    <w:rsid w:val="00BA707C"/>
    <w:rsid w:val="00BC3D0C"/>
    <w:rsid w:val="00BC6CC9"/>
    <w:rsid w:val="00BF3ECD"/>
    <w:rsid w:val="00C11352"/>
    <w:rsid w:val="00C3337D"/>
    <w:rsid w:val="00C419E7"/>
    <w:rsid w:val="00C55A56"/>
    <w:rsid w:val="00C833E1"/>
    <w:rsid w:val="00C843F7"/>
    <w:rsid w:val="00CE4F12"/>
    <w:rsid w:val="00CF01BB"/>
    <w:rsid w:val="00D00642"/>
    <w:rsid w:val="00D21B96"/>
    <w:rsid w:val="00D6708B"/>
    <w:rsid w:val="00D73EA0"/>
    <w:rsid w:val="00D97641"/>
    <w:rsid w:val="00DC3D8B"/>
    <w:rsid w:val="00DE5749"/>
    <w:rsid w:val="00E11835"/>
    <w:rsid w:val="00E1453B"/>
    <w:rsid w:val="00E403FB"/>
    <w:rsid w:val="00E41F40"/>
    <w:rsid w:val="00E43134"/>
    <w:rsid w:val="00E761F2"/>
    <w:rsid w:val="00E83B4C"/>
    <w:rsid w:val="00EB7926"/>
    <w:rsid w:val="00EC2C2A"/>
    <w:rsid w:val="00EC60E5"/>
    <w:rsid w:val="00F2262F"/>
    <w:rsid w:val="00F25396"/>
    <w:rsid w:val="00F31736"/>
    <w:rsid w:val="00F4044E"/>
    <w:rsid w:val="00F47D1B"/>
    <w:rsid w:val="00F51251"/>
    <w:rsid w:val="00F70159"/>
    <w:rsid w:val="00F73C2B"/>
    <w:rsid w:val="00F866D5"/>
    <w:rsid w:val="00FA2092"/>
    <w:rsid w:val="00FC0A57"/>
    <w:rsid w:val="00FC54F8"/>
    <w:rsid w:val="00FD1609"/>
    <w:rsid w:val="00FD36B5"/>
    <w:rsid w:val="00FE19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6308"/>
  <w15:chartTrackingRefBased/>
  <w15:docId w15:val="{BC6169B8-18CC-7849-8811-330E4351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DB6"/>
    <w:pPr>
      <w:spacing w:line="259" w:lineRule="auto"/>
    </w:pPr>
    <w:rPr>
      <w:rFonts w:eastAsiaTheme="minorEastAsia"/>
      <w:sz w:val="22"/>
      <w:szCs w:val="22"/>
      <w:lang w:eastAsia="ja-JP"/>
    </w:rPr>
  </w:style>
  <w:style w:type="paragraph" w:styleId="Heading1">
    <w:name w:val="heading 1"/>
    <w:basedOn w:val="Normal"/>
    <w:next w:val="Normal"/>
    <w:link w:val="Heading1Char"/>
    <w:uiPriority w:val="9"/>
    <w:qFormat/>
    <w:rsid w:val="00002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DB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02DB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02DB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02DB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02DB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02DB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02DB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02DB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02DB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0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DB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02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DB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02DB6"/>
    <w:pPr>
      <w:spacing w:before="160"/>
      <w:jc w:val="center"/>
    </w:pPr>
    <w:rPr>
      <w:i/>
      <w:iCs/>
      <w:color w:val="404040" w:themeColor="text1" w:themeTint="BF"/>
    </w:rPr>
  </w:style>
  <w:style w:type="character" w:customStyle="1" w:styleId="QuoteChar">
    <w:name w:val="Quote Char"/>
    <w:basedOn w:val="DefaultParagraphFont"/>
    <w:link w:val="Quote"/>
    <w:uiPriority w:val="29"/>
    <w:rsid w:val="00002DB6"/>
    <w:rPr>
      <w:i/>
      <w:iCs/>
      <w:color w:val="404040" w:themeColor="text1" w:themeTint="BF"/>
      <w:lang w:val="en-GB"/>
    </w:rPr>
  </w:style>
  <w:style w:type="paragraph" w:styleId="ListParagraph">
    <w:name w:val="List Paragraph"/>
    <w:basedOn w:val="Normal"/>
    <w:uiPriority w:val="34"/>
    <w:qFormat/>
    <w:rsid w:val="00002DB6"/>
    <w:pPr>
      <w:ind w:left="720"/>
      <w:contextualSpacing/>
    </w:pPr>
  </w:style>
  <w:style w:type="character" w:styleId="IntenseEmphasis">
    <w:name w:val="Intense Emphasis"/>
    <w:basedOn w:val="DefaultParagraphFont"/>
    <w:uiPriority w:val="21"/>
    <w:qFormat/>
    <w:rsid w:val="00002DB6"/>
    <w:rPr>
      <w:i/>
      <w:iCs/>
      <w:color w:val="0F4761" w:themeColor="accent1" w:themeShade="BF"/>
    </w:rPr>
  </w:style>
  <w:style w:type="paragraph" w:styleId="IntenseQuote">
    <w:name w:val="Intense Quote"/>
    <w:basedOn w:val="Normal"/>
    <w:next w:val="Normal"/>
    <w:link w:val="IntenseQuoteChar"/>
    <w:uiPriority w:val="30"/>
    <w:qFormat/>
    <w:rsid w:val="00002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DB6"/>
    <w:rPr>
      <w:i/>
      <w:iCs/>
      <w:color w:val="0F4761" w:themeColor="accent1" w:themeShade="BF"/>
      <w:lang w:val="en-GB"/>
    </w:rPr>
  </w:style>
  <w:style w:type="character" w:styleId="IntenseReference">
    <w:name w:val="Intense Reference"/>
    <w:basedOn w:val="DefaultParagraphFont"/>
    <w:uiPriority w:val="32"/>
    <w:qFormat/>
    <w:rsid w:val="00002DB6"/>
    <w:rPr>
      <w:b/>
      <w:bCs/>
      <w:smallCaps/>
      <w:color w:val="0F4761" w:themeColor="accent1" w:themeShade="BF"/>
      <w:spacing w:val="5"/>
    </w:rPr>
  </w:style>
  <w:style w:type="character" w:styleId="Hyperlink">
    <w:name w:val="Hyperlink"/>
    <w:basedOn w:val="DefaultParagraphFont"/>
    <w:uiPriority w:val="99"/>
    <w:unhideWhenUsed/>
    <w:rsid w:val="00002DB6"/>
    <w:rPr>
      <w:color w:val="467886" w:themeColor="hyperlink"/>
      <w:u w:val="single"/>
    </w:rPr>
  </w:style>
  <w:style w:type="paragraph" w:customStyle="1" w:styleId="EndNoteBibliography">
    <w:name w:val="EndNote Bibliography"/>
    <w:basedOn w:val="Normal"/>
    <w:link w:val="EndNoteBibliographyChar"/>
    <w:rsid w:val="004A2939"/>
    <w:pPr>
      <w:spacing w:line="240" w:lineRule="auto"/>
    </w:pPr>
    <w:rPr>
      <w:rFonts w:ascii="Aptos" w:eastAsiaTheme="minorHAnsi" w:hAnsi="Aptos"/>
      <w:sz w:val="24"/>
      <w:szCs w:val="24"/>
      <w:lang w:val="en-US" w:eastAsia="en-US"/>
    </w:rPr>
  </w:style>
  <w:style w:type="character" w:customStyle="1" w:styleId="EndNoteBibliographyChar">
    <w:name w:val="EndNote Bibliography Char"/>
    <w:basedOn w:val="DefaultParagraphFont"/>
    <w:link w:val="EndNoteBibliography"/>
    <w:rsid w:val="004A2939"/>
    <w:rPr>
      <w:rFonts w:ascii="Aptos" w:hAnsi="Aptos"/>
      <w:lang w:val="en-US"/>
    </w:rPr>
  </w:style>
  <w:style w:type="table" w:styleId="TableGrid">
    <w:name w:val="Table Grid"/>
    <w:basedOn w:val="TableNormal"/>
    <w:uiPriority w:val="39"/>
    <w:rsid w:val="00355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7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edtestaustrali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1722</Words>
  <Characters>11007</Characters>
  <Application>Microsoft Office Word</Application>
  <DocSecurity>0</DocSecurity>
  <Lines>176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Kimberley Akrigg</dc:creator>
  <cp:keywords/>
  <dc:description/>
  <cp:lastModifiedBy>Kimberley Akrigg</cp:lastModifiedBy>
  <cp:revision>2</cp:revision>
  <dcterms:created xsi:type="dcterms:W3CDTF">2026-02-24T01:11:00Z</dcterms:created>
  <dcterms:modified xsi:type="dcterms:W3CDTF">2026-02-24T01:11:00Z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2026-02-11T03:59:34Z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9a8ba8be-e0eb-45ba-94be-a9f46b3e81de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