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i w:val="0"/>
        </w:rPr>
        <w:t>УЧЕБНЫЙ ПРОЕКТ ПО ОБРАБОТКЕ ИЗОБРАЖЕНИЙ</w:t>
      </w:r>
    </w:p>
    <w:p>
      <w:pPr>
        <w:ind w:firstLine="0"/>
        <w:jc w:val="center"/>
      </w:pPr>
      <w:r>
        <w:rPr>
          <w:b w:val="0"/>
          <w:i w:val="0"/>
        </w:rPr>
      </w:r>
    </w:p>
    <w:p>
      <w:pPr>
        <w:ind w:firstLine="0"/>
        <w:jc w:val="center"/>
      </w:pPr>
      <w:r>
        <w:rPr>
          <w:b/>
          <w:i w:val="0"/>
        </w:rPr>
        <w:t>РАЗРАБОТКА И ВОСПРОИЗВОДИМОЕ ИССЛЕДОВАНИЕ</w:t>
        <w:br/>
        <w:t>АДАПТИВНОГО КОНТРАСТНО-СТРУКТУРНОГО ФИЛЬТРА (АКСФ)</w:t>
      </w:r>
    </w:p>
    <w:p>
      <w:pPr>
        <w:ind w:firstLine="0"/>
        <w:jc w:val="center"/>
      </w:pPr>
      <w:r>
        <w:rPr>
          <w:b w:val="0"/>
          <w:i w:val="0"/>
        </w:rPr>
        <w:t>Программная реализация: Rust</w:t>
      </w:r>
    </w:p>
    <w:p/>
    <w:p/>
    <w:p/>
    <w:p/>
    <w:p/>
    <w:p/>
    <w:p/>
    <w:p/>
    <w:p>
      <w:pPr>
        <w:ind w:firstLine="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pStyle w:val="Heading1"/>
      </w:pPr>
      <w:r>
        <w:t>Аннотация</w:t>
      </w:r>
    </w:p>
    <w:p>
      <w:pPr>
        <w:ind w:firstLine="709"/>
        <w:jc w:val="both"/>
      </w:pPr>
      <w:r>
        <w:rPr>
          <w:b w:val="0"/>
          <w:i w:val="0"/>
        </w:rPr>
        <w:t>В работе исследован адаптивный контрастно-структурный фильтр (АКСФ) для подавления аддитивного гауссова шума. Метод является учебным развитием идеи билатерального фильтра: его диапазонный параметр вычисляется локально из шум-компенсированной карты активности и автоматической оценки шума по Иммеркеру. Реализация выполнена на Rust без библиотек компьютерного зрения; внешний крейт image используется только для ввода/вывода файлов. Воспроизводимый эксперимент охватывает 6 полутоновых сцен, уровни шума σ={5, 10, 15, 20, 30, 40} и 3 цветные сцены в YCbCr. Средний PSNR АКСФ составил 30,35 дБ против 27,25 дБ у универсального билатерального фильтра.</w:t>
      </w:r>
    </w:p>
    <w:p>
      <w:pPr>
        <w:ind w:firstLine="709"/>
        <w:jc w:val="both"/>
      </w:pPr>
      <w:r>
        <w:rPr>
          <w:b w:val="0"/>
          <w:i w:val="0"/>
        </w:rPr>
        <w:t>Ключевые слова: шумоподавление изображений, билатеральный фильтр, АКСФ, YCbCr, PSNR, SSIM, EPI, Perona–Malik, Rust, воспроизводимый эксперимент.</w:t>
      </w:r>
    </w:p>
    <w:p>
      <w:pPr>
        <w:pStyle w:val="Heading1"/>
      </w:pPr>
      <w:r>
        <w:t>Содержание</w:t>
      </w:r>
    </w:p>
    <w:p>
      <w:pPr>
        <w:pStyle w:val="ListBullet"/>
        <w:ind w:firstLine="0"/>
      </w:pPr>
      <w:r>
        <w:t>1. Постановка задачи и честное позиционирование</w:t>
      </w:r>
    </w:p>
    <w:p>
      <w:pPr>
        <w:pStyle w:val="ListBullet"/>
        <w:ind w:firstLine="0"/>
      </w:pPr>
      <w:r>
        <w:t>2. Метод АКСФ</w:t>
      </w:r>
    </w:p>
    <w:p>
      <w:pPr>
        <w:pStyle w:val="ListBullet"/>
        <w:ind w:firstLine="0"/>
      </w:pPr>
      <w:r>
        <w:t>3. Реализация и ускорение</w:t>
      </w:r>
    </w:p>
    <w:p>
      <w:pPr>
        <w:pStyle w:val="ListBullet"/>
        <w:ind w:firstLine="0"/>
      </w:pPr>
      <w:r>
        <w:t>4. Методика эксперимента</w:t>
      </w:r>
    </w:p>
    <w:p>
      <w:pPr>
        <w:pStyle w:val="ListBullet"/>
        <w:ind w:firstLine="0"/>
      </w:pPr>
      <w:r>
        <w:t>5. Результаты полутонового эксперимента</w:t>
      </w:r>
    </w:p>
    <w:p>
      <w:pPr>
        <w:pStyle w:val="ListBullet"/>
        <w:ind w:firstLine="0"/>
      </w:pPr>
      <w:r>
        <w:t>6. Цветной режим YCbCr</w:t>
      </w:r>
    </w:p>
    <w:p>
      <w:pPr>
        <w:pStyle w:val="ListBullet"/>
        <w:ind w:firstLine="0"/>
      </w:pPr>
      <w:r>
        <w:t>7. Ограничения и заключение</w:t>
      </w:r>
    </w:p>
    <w:p>
      <w:pPr>
        <w:pStyle w:val="ListBullet"/>
        <w:ind w:firstLine="0"/>
      </w:pPr>
      <w:r>
        <w:t>Приложение. Воспроизведение результатов</w:t>
      </w:r>
    </w:p>
    <w:p>
      <w:pPr>
        <w:pStyle w:val="Heading1"/>
      </w:pPr>
      <w:r>
        <w:t>1. Постановка задачи и честное позиционирование</w:t>
      </w:r>
    </w:p>
    <w:p>
      <w:pPr>
        <w:ind w:firstLine="709"/>
        <w:jc w:val="both"/>
      </w:pPr>
      <w:r>
        <w:rPr>
          <w:b w:val="0"/>
          <w:i w:val="0"/>
        </w:rPr>
        <w:t>Гауссов шум ухудшает видимость слабых деталей, однако обычное усреднение вместе с ним сглаживает полезные границы и текстуры. Билатеральный фильтр улучшает ситуацию, поскольку учитывает расстояние и разность яркостей, но глобальный параметр σr всё ещё приходится выбирать вручную. Цель работы — реализовать прозрачный самоадаптирующийся вариант и проверить его на одинаковых шумных входах вместе с несколькими честными конкурентами.</w:t>
      </w:r>
    </w:p>
    <w:p>
      <w:pPr>
        <w:ind w:firstLine="709"/>
        <w:jc w:val="both"/>
      </w:pPr>
      <w:r>
        <w:rPr>
          <w:b w:val="0"/>
          <w:i w:val="0"/>
        </w:rPr>
        <w:t>АКСФ не заявляется как мировой новый класс алгоритмов. Это самостоятельная учебная конструкция, развивающая известную идею bilateral filtering: локальная активность используется для управления σr, а масштаб правила привязывается к автоматически оценённому шуму. Такое позиционирование важно для корректной интерпретации результатов.</w:t>
      </w:r>
    </w:p>
    <w:p>
      <w:pPr>
        <w:pStyle w:val="Heading1"/>
      </w:pPr>
      <w:r>
        <w:t>2. Метод АКСФ</w:t>
      </w:r>
    </w:p>
    <w:p>
      <w:pPr>
        <w:pStyle w:val="Heading2"/>
      </w:pPr>
      <w:r>
        <w:t>2.1. Оценка шума и карта активности</w:t>
      </w:r>
    </w:p>
    <w:p>
      <w:pPr>
        <w:ind w:firstLine="709"/>
        <w:jc w:val="both"/>
      </w:pPr>
      <w:r>
        <w:rPr>
          <w:b w:val="0"/>
          <w:i w:val="0"/>
        </w:rPr>
        <w:t>Сначала по зашумлённому изображению оценивается σ̂ методом Иммеркера, основанным на среднем модуле отклика лапласиана. Затем в окне 5×5 вычисляется несмещённая локальная дисперсия V(p). Вклад шума вычитается до извлечения корня:</w:t>
      </w:r>
    </w:p>
    <w:p>
      <w:pPr>
        <w:ind w:firstLine="0"/>
        <w:jc w:val="center"/>
      </w:pPr>
      <w:r>
        <w:rPr>
          <w:rFonts w:ascii="Cambria" w:hAnsi="Cambria"/>
          <w:i/>
          <w:sz w:val="24"/>
        </w:rPr>
        <w:t>A(p) = √max(0, V(p) − σ̂²).</w:t>
      </w:r>
    </w:p>
    <w:p>
      <w:pPr>
        <w:ind w:firstLine="709"/>
        <w:jc w:val="both"/>
      </w:pPr>
      <w:r>
        <w:rPr>
          <w:b w:val="0"/>
          <w:i w:val="0"/>
        </w:rPr>
        <w:t>Поэтому высокая активность соответствует не только флуктуациям шума, а прежде всего сохранённой локальной структуре. На гладких участках A(p) близка к нулю; около границ и текстур она растёт.</w:t>
      </w:r>
    </w:p>
    <w:p>
      <w:pPr>
        <w:pStyle w:val="Heading2"/>
      </w:pPr>
      <w:r>
        <w:t>2.2. Адаптивный диапазонный параметр</w:t>
      </w:r>
    </w:p>
    <w:p>
      <w:pPr>
        <w:ind w:firstLine="0"/>
        <w:jc w:val="center"/>
      </w:pPr>
      <w:r>
        <w:rPr>
          <w:rFonts w:ascii="Cambria" w:hAnsi="Cambria"/>
          <w:i/>
          <w:sz w:val="24"/>
        </w:rPr>
        <w:t>σr(p) = σ̂ [kmin + (kmax − kmin) exp(−(A(p)/(cσ̂))²)].</w:t>
      </w:r>
    </w:p>
    <w:p>
      <w:pPr>
        <w:ind w:firstLine="709"/>
        <w:jc w:val="both"/>
      </w:pPr>
      <w:r>
        <w:rPr>
          <w:b w:val="0"/>
          <w:i w:val="0"/>
        </w:rPr>
        <w:t>В гладкой области правило приближает σr к kmax·σ̂ и активно подавляет шум; у структуры оно приближает σr к kmin·σ̂ и ограничивает смешивание разных яркостей. После повторной калибровки только на σ=20 и σ=30 выбрана конфигурация 2.0,0.85,3.6,1.3,5,2 (σs, kmin, kmax, c, r, rstruct). Окно фильтрации остаётся 11×11, а окно активности — 5×5.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819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238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Итоговое 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σs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пространственный масштаб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2,0</w:t>
            </w:r>
          </w:p>
        </w:tc>
      </w:tr>
      <w:tr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kmin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граница σr на структуре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0,85</w:t>
            </w:r>
          </w:p>
        </w:tc>
      </w:tr>
      <w:tr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kmax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граница σr в гладкой области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3,6</w:t>
            </w:r>
          </w:p>
        </w:tc>
      </w:tr>
      <w:tr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c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плавность перехода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1,3</w:t>
            </w:r>
          </w:p>
        </w:tc>
      </w:tr>
      <w:tr>
        <w:tc>
          <w:tcPr>
            <w:tcW w:type="dxa" w:w="1701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r / rstruct</w:t>
            </w:r>
          </w:p>
        </w:tc>
        <w:tc>
          <w:tcPr>
            <w:tcW w:type="dxa" w:w="4819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радиусы фильтра / активности</w:t>
            </w:r>
          </w:p>
        </w:tc>
        <w:tc>
          <w:tcPr>
            <w:tcW w:type="dxa" w:w="238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5 / 2</w:t>
            </w:r>
          </w:p>
        </w:tc>
      </w:tr>
    </w:tbl>
    <w:p>
      <w:pPr>
        <w:ind w:firstLine="0"/>
        <w:jc w:val="center"/>
      </w:pPr>
      <w:r>
        <w:rPr>
          <w:i/>
          <w:sz w:val="20"/>
        </w:rPr>
        <w:t>Таблица 1. Параметры, выбранные без использования уровней σ=5, 10, 15 и 40.</w:t>
      </w:r>
    </w:p>
    <w:p>
      <w:pPr>
        <w:pStyle w:val="Heading1"/>
      </w:pPr>
      <w:r>
        <w:t>3. Реализация и ускорение</w:t>
      </w:r>
    </w:p>
    <w:p>
      <w:pPr>
        <w:ind w:firstLine="709"/>
        <w:jc w:val="both"/>
      </w:pPr>
      <w:r>
        <w:rPr>
          <w:b w:val="0"/>
          <w:i w:val="0"/>
        </w:rPr>
        <w:t>Программа состоит из модулей img, noise, metrics, filters, experiment и main. Реализованы скользящее среднее, гауссов, медианный, билатеральный фильтры, анизотропная диффузия Перона—Малика и АКСФ. Все алгоритмы и метрики написаны в проекте; image отвечает только за PNG/JPEG/BMP.</w:t>
      </w:r>
    </w:p>
    <w:p>
      <w:pPr>
        <w:ind w:firstLine="709"/>
        <w:jc w:val="both"/>
      </w:pPr>
      <w:r>
        <w:rPr>
          <w:b w:val="0"/>
          <w:i w:val="0"/>
        </w:rPr>
        <w:t>Для снятия исходного вычислительного ограничения карта дисперсии строится по двум интегральным изображениям, пространственная часть вынесена в два сепарабельных прохода, а значения exp(−x) в горячем цикле берутся из линейно интерполируемой таблицы. Точная ускоренная 2D-версия сохранена как внутренняя контрольная реализация. Юнит-тест сравнивает публичный сепарабельный путь с ней при одной автоматической оценке σ̂ и запрещает потерю качества более 0,05 дБ PSNR.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170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Среднее время</w:t>
            </w:r>
          </w:p>
        </w:tc>
        <w:tc>
          <w:tcPr>
            <w:tcW w:type="dxa" w:w="323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Примечание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Исходный прямой 2D-проход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241,9 мс</w:t>
            </w:r>
          </w:p>
        </w:tc>
        <w:tc>
          <w:tcPr>
            <w:tcW w:type="dxa" w:w="323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предыдущий фиксированный 3×5 замер</w:t>
            </w:r>
          </w:p>
        </w:tc>
      </w:tr>
      <w:tr>
        <w:tc>
          <w:tcPr>
            <w:tcW w:type="dxa" w:w="39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Интегральная карта + точный 2D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70,9 мс</w:t>
            </w:r>
          </w:p>
        </w:tc>
        <w:tc>
          <w:tcPr>
            <w:tcW w:type="dxa" w:w="323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предыдущий фиксированный 3×5 замер</w:t>
            </w:r>
          </w:p>
        </w:tc>
      </w:tr>
      <w:tr>
        <w:tc>
          <w:tcPr>
            <w:tcW w:type="dxa" w:w="39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Публичный сепарабельный путь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20,47 мс</w:t>
            </w:r>
          </w:p>
        </w:tc>
        <w:tc>
          <w:tcPr>
            <w:tcW w:type="dxa" w:w="323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тот же исторический замер</w:t>
            </w:r>
          </w:p>
        </w:tc>
      </w:tr>
      <w:tr>
        <w:tc>
          <w:tcPr>
            <w:tcW w:type="dxa" w:w="396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Итоговый протокол, реальные 512×512 сцены</w:t>
            </w:r>
          </w:p>
        </w:tc>
        <w:tc>
          <w:tcPr>
            <w:tcW w:type="dxa" w:w="170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19,38 мс</w:t>
            </w:r>
          </w:p>
        </w:tc>
        <w:tc>
          <w:tcPr>
            <w:tcW w:type="dxa" w:w="323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4 сцены × 6 σ; цель ≤30 мс выполнена</w:t>
            </w:r>
          </w:p>
        </w:tc>
      </w:tr>
    </w:tbl>
    <w:p>
      <w:pPr>
        <w:ind w:firstLine="0"/>
        <w:jc w:val="center"/>
      </w:pPr>
      <w:r>
        <w:rPr>
          <w:i/>
          <w:sz w:val="20"/>
        </w:rPr>
        <w:t>Таблица 2. До/после ускорения; результаты разных протоколов не смешиваются.</w:t>
      </w:r>
    </w:p>
    <w:p>
      <w:pPr>
        <w:pStyle w:val="Heading1"/>
      </w:pPr>
      <w:r>
        <w:t>4. Методика эксперимента</w:t>
      </w:r>
    </w:p>
    <w:p>
      <w:pPr>
        <w:ind w:firstLine="709"/>
        <w:jc w:val="both"/>
      </w:pPr>
      <w:r>
        <w:rPr>
          <w:b w:val="0"/>
          <w:i w:val="0"/>
        </w:rPr>
        <w:t>Полутоновая часть содержит 6 сцен: astronaut, baboon, board, fruits, grace_hopper, gradient_circles. Для каждой использованы шесть уровней аддитивного белого гауссова шума: σ=5, σ=10, σ=15, σ=20, σ=30, σ=40. Во всех методах на конкретной задаче используется один и тот же сгенерированный кадр; seed явно фиксирован. Таким образом, основной CSV содержит 36 задач на каждый метод.</w:t>
      </w:r>
    </w:p>
    <w:p>
      <w:pPr>
        <w:pStyle w:val="ListBullet"/>
        <w:ind w:firstLine="0"/>
      </w:pPr>
      <w:r>
        <w:t>raw — шумный вход; acsf_flat — контроль с постоянным σr;</w:t>
      </w:r>
    </w:p>
    <w:p>
      <w:pPr>
        <w:pStyle w:val="ListBullet"/>
        <w:ind w:firstLine="0"/>
      </w:pPr>
      <w:r>
        <w:t>bilateral — реализованный универсальный конкурент; bilateral_oracle — только верхняя граница с выбором по чистому эталону и без интерпретации времени;</w:t>
      </w:r>
    </w:p>
    <w:p>
      <w:pPr>
        <w:pStyle w:val="ListBullet"/>
        <w:ind w:firstLine="0"/>
      </w:pPr>
      <w:r>
        <w:t>perona_malik — самостоятельная реализация анизотропной диффузии (12 итераций, λ=0,18, κ=25);</w:t>
      </w:r>
    </w:p>
    <w:p>
      <w:pPr>
        <w:pStyle w:val="ListBullet"/>
        <w:ind w:firstLine="0"/>
      </w:pPr>
      <w:r>
        <w:t>PSNR измеряет ошибку, SSIM — структурное сходство, EPI — сохранение границ; больше — лучше.</w:t>
      </w:r>
    </w:p>
    <w:p>
      <w:pPr>
        <w:ind w:firstLine="709"/>
        <w:jc w:val="both"/>
      </w:pPr>
      <w:r>
        <w:rPr>
          <w:b w:val="0"/>
          <w:i w:val="0"/>
        </w:rPr>
        <w:t>Калибровка ограничена σ=20 и σ=30. Остальные четыре уровня не участвовали в выборе параметров. Для проверки устойчивости результата сформированы 30 независимых парных прогонов: одна наблюдаемая величина — среднее по 36 задачам при одном seed, что не раздувает размер выборки отдельными пикселями или кадрами.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139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Конфигурация (σs,kmin,kmax,c,r,rstruct)</w:t>
            </w:r>
          </w:p>
        </w:tc>
        <w:tc>
          <w:tcPr>
            <w:tcW w:type="dxa" w:w="147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PSNR, дБ</w:t>
            </w:r>
          </w:p>
        </w:tc>
        <w:tc>
          <w:tcPr>
            <w:tcW w:type="dxa" w:w="147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SSIM</w:t>
            </w:r>
          </w:p>
        </w:tc>
        <w:tc>
          <w:tcPr>
            <w:tcW w:type="dxa" w:w="147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EPI</w:t>
            </w:r>
          </w:p>
        </w:tc>
      </w:tr>
      <w:tr>
        <w:tc>
          <w:tcPr>
            <w:tcW w:type="dxa" w:w="413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2.0,0.55,2.8,1.0,5,2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27,271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0,7286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0,4893</w:t>
            </w:r>
          </w:p>
        </w:tc>
      </w:tr>
      <w:tr>
        <w:tc>
          <w:tcPr>
            <w:tcW w:type="dxa" w:w="413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2.0,0.7,3.2,1.2,5,2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27,890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0,7527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0,5216</w:t>
            </w:r>
          </w:p>
        </w:tc>
      </w:tr>
      <w:tr>
        <w:tc>
          <w:tcPr>
            <w:tcW w:type="dxa" w:w="413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2.0,0.85,3.6,1.3,5,2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28,019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0,7558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0,5364</w:t>
            </w:r>
          </w:p>
        </w:tc>
      </w:tr>
      <w:tr>
        <w:tc>
          <w:tcPr>
            <w:tcW w:type="dxa" w:w="413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1.5,0.7,3.2,1.2,5,2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27,508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0,7374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0,5123</w:t>
            </w:r>
          </w:p>
        </w:tc>
      </w:tr>
      <w:tr>
        <w:tc>
          <w:tcPr>
            <w:tcW w:type="dxa" w:w="4139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2.5,0.7,3.2,1.2,5,2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27,978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0,7543</w:t>
            </w:r>
          </w:p>
        </w:tc>
        <w:tc>
          <w:tcPr>
            <w:tcW w:type="dxa" w:w="147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0,5264</w:t>
            </w:r>
          </w:p>
        </w:tc>
      </w:tr>
    </w:tbl>
    <w:p>
      <w:pPr>
        <w:ind w:firstLine="0"/>
        <w:jc w:val="center"/>
      </w:pPr>
      <w:r>
        <w:rPr>
          <w:i/>
          <w:sz w:val="20"/>
        </w:rPr>
        <w:t>Таблица 3. Кандидаты калибровки, только σ=20 и σ=30, одинаковые seed и входы.</w:t>
      </w:r>
    </w:p>
    <w:p>
      <w:pPr>
        <w:pStyle w:val="Heading1"/>
      </w:pPr>
      <w:r>
        <w:t>5. Результаты полутонового эксперимента</w:t>
      </w:r>
    </w:p>
    <w:p>
      <w:pPr>
        <w:ind w:firstLine="709"/>
        <w:jc w:val="both"/>
      </w:pPr>
      <w:r>
        <w:rPr>
          <w:b w:val="0"/>
          <w:i w:val="0"/>
        </w:rPr>
        <w:t>Сводная таблица ниже создаётся из results/tables/results.csv. Время — стеночное время одного фильтрационного вызова на GitHub-hosted Ubuntu runner; сравнение скоростей корректно только внутри одного прогона. «Оракул» намеренно не имеет времени, потому что перебирает параметры с доступом к эталону.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3288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130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PSNR, дБ</w:t>
            </w:r>
          </w:p>
        </w:tc>
        <w:tc>
          <w:tcPr>
            <w:tcW w:type="dxa" w:w="130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SSIM</w:t>
            </w:r>
          </w:p>
        </w:tc>
        <w:tc>
          <w:tcPr>
            <w:tcW w:type="dxa" w:w="130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EPI</w:t>
            </w:r>
          </w:p>
        </w:tc>
        <w:tc>
          <w:tcPr>
            <w:tcW w:type="dxa" w:w="1304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Время, мс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Без обработки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24,22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0,4748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0,4345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0,1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Среднее 5×5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25,45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0,5795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-0,0210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2,2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Гауссов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26,19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0,6584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0,3272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3,5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Медианный 5×5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25,81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0,5919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0,1756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92,1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Перона—Малик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29,25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0,7633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0,5399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55,0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Билатеральный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27,25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0,5980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0,4958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64,6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Билатеральный («оракул»)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30,66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0,7989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0,6018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—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АКСФ без адаптации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29,60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0,7680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0,6005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18,8</w:t>
            </w:r>
          </w:p>
        </w:tc>
      </w:tr>
      <w:tr>
        <w:tc>
          <w:tcPr>
            <w:tcW w:type="dxa" w:w="3288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АКСФ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30,35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0,7978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0,6340</w:t>
            </w:r>
          </w:p>
        </w:tc>
        <w:tc>
          <w:tcPr>
            <w:tcW w:type="dxa" w:w="1304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19,9</w:t>
            </w:r>
          </w:p>
        </w:tc>
      </w:tr>
    </w:tbl>
    <w:p>
      <w:pPr>
        <w:ind w:firstLine="0"/>
        <w:jc w:val="center"/>
      </w:pPr>
      <w:r>
        <w:rPr>
          <w:i/>
          <w:sz w:val="20"/>
        </w:rPr>
        <w:t>Таблица 4. Среднее по шести сценам и шести уровням шума.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29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nr_vs_sig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2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1. PSNR в зависимости от σ; график получен из CSV.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69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ummary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2. Средние PSNR, SSIM и EPI по одному и тому же набору задач.</w:t>
      </w:r>
    </w:p>
    <w:p>
      <w:pPr>
        <w:ind w:firstLine="709"/>
        <w:jc w:val="both"/>
      </w:pPr>
      <w:r>
        <w:rPr>
          <w:b w:val="0"/>
          <w:i w:val="0"/>
        </w:rPr>
        <w:t>АКСФ имеет 3,10 дБ преимущества по PSNR над универсальным bilateral и 0,1999 по SSIM. Контроль acsf_flat отстаёт на 0,75 дБ, что отделяет вклад локальной адаптации от простого выбора среднего σr. Перона—Малик — сильный дополнительный конкурент (29,25 дБ), но АКСФ выше на 1,10 дБ при меньшем среднем времени. До верхней границы «оракула» остаётся 0,31 дБ.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ctivit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3. Карта активности и адаптивный результат на фрагменте платы, σ=20.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12035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ual_babo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203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4. Визуальное сравнение на «baboon», σ=20; метрики подписаны из CSV.</w:t>
      </w:r>
    </w:p>
    <w:p>
      <w:pPr>
        <w:pStyle w:val="Heading2"/>
      </w:pPr>
      <w:r>
        <w:t>5.1. Парная статистическая проверка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386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402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Независимых пар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30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Средний PSNR bilateral, дБ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27,253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Средний PSNR АКСФ, дБ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30,353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Средняя разница АКСФ − bilateral, дБ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3,099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t-статистика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3775.86</w:t>
            </w:r>
          </w:p>
        </w:tc>
      </w:tr>
      <w:tr>
        <w:tc>
          <w:tcPr>
            <w:tcW w:type="dxa" w:w="5386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p, односторонний парный t-тест</w:t>
            </w:r>
          </w:p>
        </w:tc>
        <w:tc>
          <w:tcPr>
            <w:tcW w:type="dxa" w:w="3402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2.174e-84</w:t>
            </w:r>
          </w:p>
        </w:tc>
      </w:tr>
    </w:tbl>
    <w:p>
      <w:pPr>
        <w:ind w:firstLine="709"/>
        <w:jc w:val="both"/>
      </w:pPr>
      <w:r>
        <w:rPr>
          <w:b w:val="0"/>
          <w:i w:val="0"/>
        </w:rPr>
        <w:t>Нулевая гипотеза о том, что АКСФ не превосходит bilateral по среднему PSNR, отвергается: p существенно меньше 0,05. Это не заменяет разнообразный набор реальных шумовых моделей, но подтверждает устойчивость наблюдаемой разницы внутри заданного контролируемого протокола.</w:t>
      </w:r>
    </w:p>
    <w:p>
      <w:pPr>
        <w:pStyle w:val="Heading1"/>
      </w:pPr>
      <w:r>
        <w:t>6. Цветной режим YCbCr</w:t>
      </w:r>
    </w:p>
    <w:p>
      <w:pPr>
        <w:ind w:firstLine="709"/>
        <w:jc w:val="both"/>
      </w:pPr>
      <w:r>
        <w:rPr>
          <w:b w:val="0"/>
          <w:i w:val="0"/>
        </w:rPr>
        <w:t>Для цвета реализован отдельный совместный режим, а не независимая обработка R, G и B. Изображение представляется в YCbCr; оценка σ̂, карта A(p) и σr(p) строятся по Y. При фильтрации всех компонентов используется общий вес с яркостным направляющим каналом и учётом разности Cb/Cr. Метрики вычисляются по трём каналам: PSNR — из среднего MSE, SSIM и EPI — как среднее поканальных значений.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3402"/>
            <w:vAlign w:val="center"/>
            <w:shd w:fill="1F2D5C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136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PSNR, дБ</w:t>
            </w:r>
          </w:p>
        </w:tc>
        <w:tc>
          <w:tcPr>
            <w:tcW w:type="dxa" w:w="136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SSIM</w:t>
            </w:r>
          </w:p>
        </w:tc>
        <w:tc>
          <w:tcPr>
            <w:tcW w:type="dxa" w:w="136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EPI</w:t>
            </w:r>
          </w:p>
        </w:tc>
        <w:tc>
          <w:tcPr>
            <w:tcW w:type="dxa" w:w="1361"/>
            <w:vAlign w:val="center"/>
            <w:shd w:fill="1F2D5C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Время, мс</w:t>
            </w:r>
          </w:p>
        </w:tc>
      </w:tr>
      <w:tr>
        <w:tc>
          <w:tcPr>
            <w:tcW w:type="dxa" w:w="34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Без обработки (YCbCr)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24,00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0,3799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0,2168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1,1</w:t>
            </w:r>
          </w:p>
        </w:tc>
      </w:tr>
      <w:tr>
        <w:tc>
          <w:tcPr>
            <w:tcW w:type="dxa" w:w="34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19"/>
              </w:rPr>
              <w:t>Билатеральный (YCbCr)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28,65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0,6053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0,2479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19"/>
              </w:rPr>
              <w:t>121,1</w:t>
            </w:r>
          </w:p>
        </w:tc>
      </w:tr>
      <w:tr>
        <w:tc>
          <w:tcPr>
            <w:tcW w:type="dxa" w:w="3402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АКСФ (YCbCr)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31,23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0,8413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0,2728</w:t>
            </w:r>
          </w:p>
        </w:tc>
        <w:tc>
          <w:tcPr>
            <w:tcW w:type="dxa" w:w="1361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9"/>
              </w:rPr>
              <w:t>125,2</w:t>
            </w:r>
          </w:p>
        </w:tc>
      </w:tr>
    </w:tbl>
    <w:p>
      <w:pPr>
        <w:ind w:firstLine="0"/>
        <w:jc w:val="center"/>
      </w:pPr>
      <w:r>
        <w:rPr>
          <w:i/>
          <w:sz w:val="20"/>
        </w:rPr>
        <w:t>Таблица 5. Три RGB-сцены × шесть уровней шума; все метрики в YCbCr.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lor_psnr_vs_sig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5. Цветной PSNR в YCbCr в зависимости от σ.</w:t>
      </w:r>
    </w:p>
    <w:p>
      <w:pPr>
        <w:ind w:firstLine="709"/>
        <w:jc w:val="both"/>
      </w:pPr>
      <w:r>
        <w:rPr>
          <w:b w:val="0"/>
          <w:i w:val="0"/>
        </w:rPr>
        <w:t>В цветном режиме АКСФ даёт 31,23 дБ против 28,65 дБ у bilateral: разница 2,58 дБ. Это показывает, что локальная адаптация по яркости переносится на совместную фильтрацию цветности без сведения задачи к трём независимым полутоновым фильтрам.</w:t>
      </w:r>
    </w:p>
    <w:p>
      <w:pPr>
        <w:pStyle w:val="Heading1"/>
      </w:pPr>
      <w:r>
        <w:t>7. Ограничения и заключение</w:t>
      </w:r>
    </w:p>
    <w:p>
      <w:pPr>
        <w:ind w:firstLine="709"/>
        <w:jc w:val="both"/>
      </w:pPr>
      <w:r>
        <w:rPr>
          <w:b w:val="0"/>
          <w:i w:val="0"/>
        </w:rPr>
        <w:t>Итог работы — прозрачная и воспроизводимая реализация АКСФ с ускоренным публичным путём, цветным YCbCr-режимом, самостоятельным конкурентом Перона—Малика и статистической проверкой. На четырёх реальных 512×512 сценах среднее время 19,38 мс ниже целевого порога 30 мс, а регрессионный тест фиксирует допустимое расхождение с точным 2D-эталоном.</w:t>
      </w:r>
    </w:p>
    <w:p>
      <w:pPr>
        <w:pStyle w:val="ListBullet"/>
        <w:ind w:firstLine="0"/>
      </w:pPr>
      <w:r>
        <w:t>Испытана только модель аддитивного гауссова шума; для salt-and-pepper и реального сенсорного шума нужны отдельные испытания.</w:t>
      </w:r>
    </w:p>
    <w:p>
      <w:pPr>
        <w:pStyle w:val="ListBullet"/>
        <w:ind w:firstLine="0"/>
      </w:pPr>
      <w:r>
        <w:t>«Оракул» — диагностическая верхняя граница, не практический конкурент и не основание для сравнения времени.</w:t>
      </w:r>
    </w:p>
    <w:p>
      <w:pPr>
        <w:pStyle w:val="ListBullet"/>
        <w:ind w:firstLine="0"/>
      </w:pPr>
      <w:r>
        <w:t>Калибровка проводилась на ограниченном наборе кандидатов; более широкая настройка должна выполняться на отдельном обучающем наборе.</w:t>
      </w:r>
    </w:p>
    <w:p>
      <w:pPr>
        <w:pStyle w:val="ListBullet"/>
        <w:ind w:firstLine="0"/>
      </w:pPr>
      <w:r>
        <w:t>Время зависит от процессора и runner; в репозитории сохранены CSV, логи и workflow для повторения именно данного измерения.</w:t>
      </w:r>
    </w:p>
    <w:p>
      <w:pPr>
        <w:pStyle w:val="Heading1"/>
      </w:pPr>
      <w:r>
        <w:t>Список источников</w:t>
      </w:r>
    </w:p>
    <w:p>
      <w:pPr>
        <w:ind w:firstLine="709"/>
        <w:jc w:val="both"/>
      </w:pPr>
      <w:r>
        <w:rPr>
          <w:b w:val="0"/>
          <w:i w:val="0"/>
        </w:rPr>
        <w:t>Tomasi C., Manduchi R. Bilateral Filtering for Gray and Color Images. ICCV, 1998.</w:t>
      </w:r>
    </w:p>
    <w:p>
      <w:pPr>
        <w:ind w:firstLine="709"/>
        <w:jc w:val="both"/>
      </w:pPr>
      <w:r>
        <w:rPr>
          <w:b w:val="0"/>
          <w:i w:val="0"/>
        </w:rPr>
        <w:t>Perona P., Malik J. Scale-Space and Edge Detection Using Anisotropic Diffusion. IEEE TPAMI, 1990.</w:t>
      </w:r>
    </w:p>
    <w:p>
      <w:pPr>
        <w:ind w:firstLine="709"/>
        <w:jc w:val="both"/>
      </w:pPr>
      <w:r>
        <w:rPr>
          <w:b w:val="0"/>
          <w:i w:val="0"/>
        </w:rPr>
        <w:t>Immerkaer J. Fast Noise Variance Estimation. Computer Vision and Image Understanding, 1996.</w:t>
      </w:r>
    </w:p>
    <w:p>
      <w:pPr>
        <w:ind w:firstLine="709"/>
        <w:jc w:val="both"/>
      </w:pPr>
      <w:r>
        <w:rPr>
          <w:b w:val="0"/>
          <w:i w:val="0"/>
        </w:rPr>
        <w:t>Wang Z. et al. Image Quality Assessment: From Error Visibility to Structural Similarity. IEEE TIP, 2004.</w:t>
      </w:r>
    </w:p>
    <w:p>
      <w:pPr>
        <w:ind w:firstLine="709"/>
        <w:jc w:val="both"/>
      </w:pPr>
      <w:r>
        <w:rPr>
          <w:b w:val="0"/>
          <w:i w:val="0"/>
        </w:rPr>
        <w:t>Документация Rust и crate image; исходный код и точные команды воспроизведения — в репозитории проекта.</w:t>
      </w:r>
    </w:p>
    <w:p>
      <w:r>
        <w:br w:type="page"/>
      </w:r>
    </w:p>
    <w:p>
      <w:pPr>
        <w:pStyle w:val="Heading1"/>
      </w:pPr>
      <w:r>
        <w:t>Приложение. Воспроизведение результатов</w:t>
      </w:r>
    </w:p>
    <w:p>
      <w:pPr>
        <w:ind w:firstLine="709"/>
        <w:jc w:val="both"/>
      </w:pPr>
      <w:r>
        <w:rPr>
          <w:b w:val="0"/>
          <w:i w:val="0"/>
        </w:rPr>
        <w:t>Команды ниже соответствуют CI. GitHub Actions запускает их на ветке проекта и сохраняет CSV, логи, графики и таблицы обратно в репозиторий.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# Сборка и полный полутоновый эксперимент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cargo build --release --locked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./target/release/smoothing_project bench -d data/clean -o results \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 --noise 5,10,15,20,30,40 --save-sigma 20 --seed 12345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# 30 независимых парных seed для bilateral против АКСФ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./target/release/smoothing_project stats -d data/clean -o results \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 --noise 5,10,15,20,30,40 --runs 30 --seed 12345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# Цветной YCbCr-эксперимент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./target/release/smoothing_project bench --rgb -d data/color -o results/color \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 --noise 5,10,15,20,30,40 --save-sigma 20 --seed 12345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# Производные таблицы, графики и документы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python3 analysis.py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python3 visualize.py --sigma 20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python3 analysis.py --color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python3 docs/build_report.py</w:t>
      </w:r>
    </w:p>
    <w:p>
      <w:pPr>
        <w:spacing w:after="0"/>
        <w:ind w:firstLine="0"/>
      </w:pPr>
      <w:r>
        <w:rPr>
          <w:rFonts w:ascii="Consolas" w:hAnsi="Consolas" w:eastAsia="Consolas"/>
          <w:sz w:val="17"/>
        </w:rPr>
        <w:t>python3 docs/build_slides.py</w:t>
      </w:r>
    </w:p>
    <w:p>
      <w:pPr>
        <w:ind w:firstLine="709"/>
        <w:jc w:val="both"/>
      </w:pPr>
      <w:r>
        <w:rPr>
          <w:b w:val="0"/>
          <w:i w:val="0"/>
        </w:rPr>
        <w:t>Источники тестовых изображений и лицензии перечислены в data/ATTRIBUTION.md; синтетическая сцена строится детерминированно скриптом data/generate_synthetic.py.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D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АКСФ: воспроизводимое исследование шумоподавления</dc:title>
  <dc:subject>Учебный проект на Rust</dc:subject>
  <dc:creator>Проект rastirization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