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Malgun Gothic" w:hAnsi="Malgun Gothic" w:eastAsia="Malgun Gothic" w:cs="Malgun Gothic"/>
          <w:b/>
          <w:color w:val="1F4E79"/>
          <w:sz w:val="28"/>
        </w:rPr>
        <w:t>시험절차서 — 시험항목 #3: SBOM 기반 공개 취약점 정보 식별 정밀도</w:t>
      </w:r>
    </w:p>
    <w:p>
      <w:pPr>
        <w:spacing w:before="0" w:after="60" w:line="240" w:lineRule="auto"/>
        <w:jc w:val="center"/>
      </w:pPr>
      <w:r>
        <w:rPr>
          <w:rFonts w:ascii="Malgun Gothic" w:hAnsi="Malgun Gothic" w:eastAsia="Malgun Gothic" w:cs="Malgun Gothic"/>
          <w:color w:val="505050"/>
          <w:sz w:val="17"/>
        </w:rPr>
        <w:t>대상: ICS-VEX(ICS-VEXForge) · 알고리즘 Ratcliff–Obershelp 문자열 유사도(difflib) · 정밀도 = TP/(TP+FP)×100 · 합격기준 ≥ 95%</w:t>
      </w:r>
    </w:p>
    <w:p>
      <w:pPr>
        <w:spacing w:before="80" w:after="40" w:line="240" w:lineRule="auto"/>
      </w:pPr>
      <w:r>
        <w:rPr>
          <w:rFonts w:ascii="Malgun Gothic" w:hAnsi="Malgun Gothic" w:eastAsia="Malgun Gothic" w:cs="Malgun Gothic"/>
          <w:b/>
          <w:color w:val="1F4E79"/>
          <w:sz w:val="21"/>
        </w:rPr>
        <w:t>1. 시험 도구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494"/>
            <w:shd w:val="clear" w:color="auto" w:fill="1F4E79"/>
          </w:tcPr>
          <w:p>
            <w:pPr>
              <w:spacing w:before="0" w:after="40" w:line="240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도구</w:t>
            </w:r>
          </w:p>
        </w:tc>
        <w:tc>
          <w:tcPr>
            <w:tcW w:type="dxa" w:w="7143"/>
            <w:shd w:val="clear" w:color="auto" w:fill="1F4E79"/>
          </w:tcPr>
          <w:p>
            <w:pPr>
              <w:spacing w:before="0" w:after="40" w:line="240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2494"/>
          </w:tcPr>
          <w:p>
            <w:pPr>
              <w:spacing w:before="0" w:after="40" w:line="240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SUT 매칭 엔진</w:t>
            </w:r>
          </w:p>
        </w:tc>
        <w:tc>
          <w:tcPr>
            <w:tcW w:type="dxa" w:w="7143"/>
          </w:tcPr>
          <w:p>
            <w:pPr>
              <w:spacing w:before="0" w:after="40" w:line="240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api_server.vex_compare_sbom / _ro_best_match — SBOM 컴포넌트명을 KB에 Ratcliff–Obershelp 유사도(difflib SequenceMatcher.ratio, 임계값 0.7)로 정규화하고 매칭된 CPE에서 CVE를 재식별.</w:t>
            </w:r>
          </w:p>
        </w:tc>
      </w:tr>
      <w:tr>
        <w:tc>
          <w:tcPr>
            <w:tcW w:type="dxa" w:w="2494"/>
          </w:tcPr>
          <w:p>
            <w:pPr>
              <w:spacing w:before="0" w:after="40" w:line="240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tools/eval_cpe_match_precision.py</w:t>
            </w:r>
          </w:p>
        </w:tc>
        <w:tc>
          <w:tcPr>
            <w:tcW w:type="dxa" w:w="7143"/>
          </w:tcPr>
          <w:p>
            <w:pPr>
              <w:spacing w:before="0" w:after="40" w:line="240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위 매칭을 구동해 식별 CVE를 라벨(정답)과 대조, precision=TP/(TP+FP)×100 산출·기록(결과 results/cpe_match_precision.json). 알고리즘은 결정적(난수 없음).</w:t>
            </w:r>
          </w:p>
        </w:tc>
      </w:tr>
      <w:tr>
        <w:tc>
          <w:tcPr>
            <w:tcW w:type="dxa" w:w="2494"/>
          </w:tcPr>
          <w:p>
            <w:pPr>
              <w:spacing w:before="0" w:after="40" w:line="240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참고</w:t>
            </w:r>
          </w:p>
        </w:tc>
        <w:tc>
          <w:tcPr>
            <w:tcW w:type="dxa" w:w="7143"/>
          </w:tcPr>
          <w:p>
            <w:pPr>
              <w:spacing w:before="0" w:after="40" w:line="240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대시보드 'CPE normalization — exact vs Ratcliff–Obershelp' 화면 및 tools/compare_cisa_csaf.py(ICSA 단위 대조).</w:t>
            </w:r>
          </w:p>
        </w:tc>
      </w:tr>
    </w:tbl>
    <w:p>
      <w:pPr>
        <w:spacing w:before="0" w:after="40" w:line="240" w:lineRule="auto"/>
      </w:pPr>
      <w:r>
        <w:rPr>
          <w:rFonts w:ascii="Malgun Gothic" w:hAnsi="Malgun Gothic" w:eastAsia="Malgun Gothic" w:cs="Malgun Gothic"/>
          <w:b w:val="0"/>
          <w:sz w:val="18"/>
        </w:rPr>
        <w:t>· TP: 매칭된 CPE 제품이 정답과 일치하고 식별 CVE가 정답 CVE와 완전 일치.  · FP: 버전/에디션 불일치 또는 잘못된 제품 매핑.</w:t>
      </w:r>
    </w:p>
    <w:p>
      <w:pPr>
        <w:spacing w:before="80" w:after="40" w:line="240" w:lineRule="auto"/>
      </w:pPr>
      <w:r>
        <w:rPr>
          <w:rFonts w:ascii="Malgun Gothic" w:hAnsi="Malgun Gothic" w:eastAsia="Malgun Gothic" w:cs="Malgun Gothic"/>
          <w:b/>
          <w:color w:val="1F4E79"/>
          <w:sz w:val="21"/>
        </w:rPr>
        <w:t>2. 시험 절차</w:t>
      </w:r>
    </w:p>
    <w:p>
      <w:pPr>
        <w:spacing w:before="0" w:after="40" w:line="240" w:lineRule="auto"/>
      </w:pPr>
      <w:r>
        <w:rPr>
          <w:rFonts w:ascii="Malgun Gothic" w:hAnsi="Malgun Gothic" w:eastAsia="Malgun Gothic" w:cs="Malgun Gothic"/>
          <w:b w:val="0"/>
          <w:sz w:val="18"/>
        </w:rPr>
        <w:t>① 전제조건(제3항) 확인 → ② 라벨 데이터셋 준비(제4항) → ③ 아래 명령 실행 → ④ 결과 JSON 수집 → ⑤ precision ≥ 95% 이면 합격(PASS).</w:t>
      </w:r>
    </w:p>
    <w:p>
      <w:pPr>
        <w:spacing w:before="20" w:after="60" w:line="240" w:lineRule="auto"/>
        <w:ind w:left="170"/>
        <w:shd w:val="clear" w:color="auto" w:fill="F2F2F2"/>
      </w:pPr>
      <w:r>
        <w:rPr>
          <w:rFonts w:ascii="Consolas" w:hAnsi="Consolas" w:eastAsia="Consolas" w:cs="Consolas"/>
          <w:sz w:val="17"/>
        </w:rPr>
        <w:t>python tools/eval_cpe_match_precision.py --data data/cpe_match_eval.jsonl --threshold 0.7</w:t>
      </w:r>
    </w:p>
    <w:p>
      <w:pPr>
        <w:spacing w:before="0" w:after="40" w:line="240" w:lineRule="auto"/>
      </w:pPr>
      <w:r>
        <w:rPr>
          <w:rFonts w:ascii="Malgun Gothic" w:hAnsi="Malgun Gothic" w:eastAsia="Malgun Gothic" w:cs="Malgun Gothic"/>
          <w:b w:val="0"/>
          <w:sz w:val="18"/>
        </w:rPr>
        <w:t>· --threshold: Ratcliff–Obershelp 정규화 임계값(기본 0.7).  · 결과: results/cpe_match_precision.json(TP·FP·precision_pct·pass).</w:t>
      </w:r>
    </w:p>
    <w:p>
      <w:pPr>
        <w:spacing w:before="80" w:after="40" w:line="240" w:lineRule="auto"/>
      </w:pPr>
      <w:r>
        <w:rPr>
          <w:rFonts w:ascii="Malgun Gothic" w:hAnsi="Malgun Gothic" w:eastAsia="Malgun Gothic" w:cs="Malgun Gothic"/>
          <w:b/>
          <w:color w:val="1F4E79"/>
          <w:sz w:val="21"/>
        </w:rPr>
        <w:t>3. 시험을 위한 전제조건</w:t>
      </w:r>
    </w:p>
    <w:p>
      <w:pPr>
        <w:spacing w:before="0" w:after="40" w:line="240" w:lineRule="auto"/>
      </w:pPr>
      <w:r>
        <w:rPr>
          <w:rFonts w:ascii="Malgun Gothic" w:hAnsi="Malgun Gothic" w:eastAsia="Malgun Gothic" w:cs="Malgun Gothic"/>
          <w:b w:val="0"/>
          <w:sz w:val="18"/>
        </w:rPr>
        <w:t>① 컴포넌트 지식베이스(KB, results/cve_kb.json — CPE 제품·버전·CVE) 적재. SUT는 이 KB에 대해 매칭·재식별을 수행.</w:t>
      </w:r>
    </w:p>
    <w:p>
      <w:pPr>
        <w:spacing w:before="0" w:after="40" w:line="240" w:lineRule="auto"/>
      </w:pPr>
      <w:r>
        <w:rPr>
          <w:rFonts w:ascii="Malgun Gothic" w:hAnsi="Malgun Gothic" w:eastAsia="Malgun Gothic" w:cs="Malgun Gothic"/>
          <w:b w:val="0"/>
          <w:sz w:val="18"/>
        </w:rPr>
        <w:t>② 라벨 데이터셋(제4항)이 준비되어 있음. '영향 있음(affected)' 여부는 고려하지 않으며, 식별 CVE가 항목과 정확히 일치하는지만 판정.</w:t>
      </w:r>
    </w:p>
    <w:p>
      <w:pPr>
        <w:spacing w:before="0" w:after="40" w:line="240" w:lineRule="auto"/>
      </w:pPr>
      <w:r>
        <w:rPr>
          <w:rFonts w:ascii="Malgun Gothic" w:hAnsi="Malgun Gothic" w:eastAsia="Malgun Gothic" w:cs="Malgun Gothic"/>
          <w:b w:val="0"/>
          <w:sz w:val="18"/>
        </w:rPr>
        <w:t>③ 결정성: Ratcliff–Obershelp(difflib)는 난수가 없고 임계값(0.7)이 고정되어, 동일 입력에 항상 동일 결과.</w:t>
      </w:r>
    </w:p>
    <w:p>
      <w:pPr>
        <w:spacing w:before="0" w:after="40" w:line="240" w:lineRule="auto"/>
      </w:pPr>
      <w:r>
        <w:rPr>
          <w:rFonts w:ascii="Malgun Gothic" w:hAnsi="Malgun Gothic" w:eastAsia="Malgun Gothic" w:cs="Malgun Gothic"/>
          <w:b w:val="0"/>
          <w:sz w:val="18"/>
        </w:rPr>
        <w:t>④ 버전/에디션 비교 가능: 정답 CVE는 CPE 제품·버전 기준으로 라벨링되어 버전/에디션 불일치를 FP로 판별 가능.</w:t>
      </w:r>
    </w:p>
    <w:p>
      <w:pPr>
        <w:spacing w:before="80" w:after="40" w:line="240" w:lineRule="auto"/>
      </w:pPr>
      <w:r>
        <w:rPr>
          <w:rFonts w:ascii="Malgun Gothic" w:hAnsi="Malgun Gothic" w:eastAsia="Malgun Gothic" w:cs="Malgun Gothic"/>
          <w:b/>
          <w:color w:val="1F4E79"/>
          <w:sz w:val="21"/>
        </w:rPr>
        <w:t>4. 성능평가결과 검증을 위한 데이터셋</w:t>
      </w:r>
    </w:p>
    <w:p>
      <w:pPr>
        <w:spacing w:before="0" w:after="40" w:line="240" w:lineRule="auto"/>
      </w:pPr>
      <w:r>
        <w:rPr>
          <w:rFonts w:ascii="Malgun Gothic" w:hAnsi="Malgun Gothic" w:eastAsia="Malgun Gothic" w:cs="Malgun Gothic"/>
          <w:b w:val="0"/>
          <w:sz w:val="18"/>
        </w:rPr>
        <w:t>라벨(정답)은 실제 SBOM에 나타나는 컴포넌트 표기와 그에 대한 권위 있는 CPE 제품·CVE 매핑이다. 권위 출처는 CISA CSAF(cisagov/CSAF)의 제품↔CVE 정보로, tools/compare_cisa_csaf.py가 사용하는 것과 동일하다.</w:t>
      </w:r>
    </w:p>
    <w:p>
      <w:pPr>
        <w:spacing w:before="0" w:after="40" w:line="240" w:lineRule="auto"/>
      </w:pPr>
      <w:r>
        <w:rPr>
          <w:rFonts w:ascii="Malgun Gothic" w:hAnsi="Malgun Gothic" w:eastAsia="Malgun Gothic" w:cs="Malgun Gothic"/>
          <w:b/>
          <w:sz w:val="18"/>
        </w:rPr>
        <w:t>형식(JSONL, data/cpe_match_eval.jsonl):</w:t>
      </w:r>
    </w:p>
    <w:p>
      <w:pPr>
        <w:spacing w:before="20" w:after="60" w:line="240" w:lineRule="auto"/>
        <w:ind w:left="170"/>
        <w:shd w:val="clear" w:color="auto" w:fill="F2F2F2"/>
      </w:pPr>
      <w:r>
        <w:rPr>
          <w:rFonts w:ascii="Consolas" w:hAnsi="Consolas" w:eastAsia="Consolas" w:cs="Consolas"/>
          <w:sz w:val="17"/>
        </w:rPr>
        <w:t>{"component":"OpenSSL","version":"1.0.2","correct_cpe_product":"openssl",</w:t>
      </w:r>
      <w:r>
        <w:br/>
      </w:r>
      <w:r>
        <w:rPr>
          <w:rFonts w:ascii="Consolas" w:hAnsi="Consolas" w:eastAsia="Consolas" w:cs="Consolas"/>
          <w:sz w:val="17"/>
        </w:rPr>
        <w:t xml:space="preserve"> "correct_cves":["CVE-2016-2107", "..."]}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28"/>
            <w:shd w:val="clear" w:color="auto" w:fill="1F4E79"/>
          </w:tcPr>
          <w:p>
            <w:pPr>
              <w:spacing w:before="0" w:after="40" w:line="240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710"/>
            <w:shd w:val="clear" w:color="auto" w:fill="1F4E79"/>
          </w:tcPr>
          <w:p>
            <w:pPr>
              <w:spacing w:before="0" w:after="40" w:line="240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1928"/>
          </w:tcPr>
          <w:p>
            <w:pPr>
              <w:spacing w:before="0" w:after="40" w:line="240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항목(레코드)</w:t>
            </w:r>
          </w:p>
        </w:tc>
        <w:tc>
          <w:tcPr>
            <w:tcW w:type="dxa" w:w="7710"/>
          </w:tcPr>
          <w:p>
            <w:pPr>
              <w:spacing w:before="0" w:after="40" w:line="240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실제 SBOM 컴포넌트 표기 + 정답 CPE 제품 + 정답 CVE 목록(버전/에디션 포함)</w:t>
            </w:r>
          </w:p>
        </w:tc>
      </w:tr>
      <w:tr>
        <w:tc>
          <w:tcPr>
            <w:tcW w:type="dxa" w:w="1928"/>
          </w:tcPr>
          <w:p>
            <w:pPr>
              <w:spacing w:before="0" w:after="40" w:line="240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정답 출처</w:t>
            </w:r>
          </w:p>
        </w:tc>
        <w:tc>
          <w:tcPr>
            <w:tcW w:type="dxa" w:w="7710"/>
          </w:tcPr>
          <w:p>
            <w:pPr>
              <w:spacing w:before="0" w:after="40" w:line="240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CISA CSAF 제품↔CVE 권위 매핑(cisagov/CSAF), NVD CPE 사전</w:t>
            </w:r>
          </w:p>
        </w:tc>
      </w:tr>
      <w:tr>
        <w:tc>
          <w:tcPr>
            <w:tcW w:type="dxa" w:w="1928"/>
          </w:tcPr>
          <w:p>
            <w:pPr>
              <w:spacing w:before="0" w:after="40" w:line="240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TP 판정</w:t>
            </w:r>
          </w:p>
        </w:tc>
        <w:tc>
          <w:tcPr>
            <w:tcW w:type="dxa" w:w="7710"/>
          </w:tcPr>
          <w:p>
            <w:pPr>
              <w:spacing w:before="0" w:after="40" w:line="240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매칭된 CPE 제품 = 정답 제품 AND 식별 CVE ∈ 정답 CVE</w:t>
            </w:r>
          </w:p>
        </w:tc>
      </w:tr>
      <w:tr>
        <w:tc>
          <w:tcPr>
            <w:tcW w:type="dxa" w:w="1928"/>
          </w:tcPr>
          <w:p>
            <w:pPr>
              <w:spacing w:before="0" w:after="40" w:line="240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FP 판정</w:t>
            </w:r>
          </w:p>
        </w:tc>
        <w:tc>
          <w:tcPr>
            <w:tcW w:type="dxa" w:w="7710"/>
          </w:tcPr>
          <w:p>
            <w:pPr>
              <w:spacing w:before="0" w:after="40" w:line="240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매칭된 CPE 제품/버전 ≠ 정답(버전·에디션 불일치 또는 잘못된 제품 매핑)</w:t>
            </w:r>
          </w:p>
        </w:tc>
      </w:tr>
    </w:tbl>
    <w:p>
      <w:pPr>
        <w:spacing w:before="0" w:after="40" w:line="240" w:lineRule="auto"/>
      </w:pPr>
      <w:r>
        <w:rPr>
          <w:rFonts w:ascii="Malgun Gothic" w:hAnsi="Malgun Gothic" w:eastAsia="Malgun Gothic" w:cs="Malgun Gothic"/>
          <w:b w:val="0"/>
          <w:sz w:val="16"/>
        </w:rPr>
        <w:t>※ 데이터셋은 대상 컴포넌트 군을 대표하도록 구성한다. 임계값 0.7은 SUT 기본값이며, 필요 시 절차의 --threshold 로 명시한다.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