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40"/>
        <w:jc w:val="center"/>
        <w:rPr/>
      </w:pPr>
      <w:r>
        <w:rPr>
          <w:rFonts w:eastAsia="Arial" w:cs="Arial"/>
          <w:b/>
          <w:bCs/>
          <w:color w:val="1F3864"/>
          <w:sz w:val="40"/>
          <w:szCs w:val="40"/>
        </w:rPr>
        <w:t>SHAIK KALANDAR</w:t>
      </w:r>
    </w:p>
    <w:p>
      <w:pPr>
        <w:pStyle w:val="Normal"/>
        <w:spacing w:before="0" w:after="30"/>
        <w:jc w:val="center"/>
        <w:rPr/>
      </w:pPr>
      <w:r>
        <w:rPr>
          <w:rFonts w:eastAsia="Arial" w:cs="Arial"/>
          <w:b/>
          <w:bCs/>
          <w:color w:val="2E5FA3"/>
          <w:sz w:val="20"/>
          <w:szCs w:val="20"/>
        </w:rPr>
        <w:t>Cloud Admin &amp; DevOps Engineer  |  CloudOps  |  DevSecOps</w:t>
      </w:r>
    </w:p>
    <w:p>
      <w:pPr>
        <w:pStyle w:val="Normal"/>
        <w:spacing w:before="0" w:after="20"/>
        <w:jc w:val="center"/>
        <w:rPr/>
      </w:pPr>
      <w:r>
        <w:rPr>
          <w:rFonts w:eastAsia="Arial" w:cs="Arial"/>
          <w:color w:val="666666"/>
          <w:sz w:val="18"/>
          <w:szCs w:val="18"/>
        </w:rPr>
        <w:t xml:space="preserve">+91-8519992634  |  shaik.kalandar20@gmail.com  |  Bangalore  |  </w:t>
      </w:r>
      <w:hyperlink r:id="rId2">
        <w:r>
          <w:rPr>
            <w:rFonts w:eastAsia="Arial" w:cs="Arial"/>
            <w:color w:val="2E75B6"/>
            <w:sz w:val="18"/>
            <w:szCs w:val="18"/>
            <w:u w:val="single"/>
          </w:rPr>
          <w:t>GitHub</w:t>
        </w:r>
      </w:hyperlink>
      <w:r>
        <w:rPr>
          <w:rFonts w:eastAsia="Arial" w:cs="Arial"/>
          <w:color w:val="666666"/>
          <w:sz w:val="18"/>
          <w:szCs w:val="18"/>
        </w:rPr>
        <w:t xml:space="preserve">  |  </w:t>
      </w:r>
      <w:hyperlink r:id="rId3">
        <w:r>
          <w:rPr>
            <w:rFonts w:eastAsia="Arial" w:cs="Arial"/>
            <w:color w:val="2E75B6"/>
            <w:sz w:val="18"/>
            <w:szCs w:val="18"/>
            <w:u w:val="single"/>
          </w:rPr>
          <w:t>LinkedIn</w:t>
        </w:r>
      </w:hyperlink>
    </w:p>
    <w:p>
      <w:pPr>
        <w:pStyle w:val="Normal"/>
        <w:pBdr>
          <w:bottom w:val="single" w:sz="8" w:space="1" w:color="2E75B6"/>
        </w:pBdr>
        <w:spacing w:before="0" w:after="120"/>
        <w:rPr/>
      </w:pPr>
      <w:r>
        <w:rPr/>
      </w:r>
    </w:p>
    <w:p>
      <w:pPr>
        <w:pStyle w:val="Normal"/>
        <w:pBdr>
          <w:bottom w:val="single" w:sz="6" w:space="1" w:color="2E75B6"/>
        </w:pBdr>
        <w:spacing w:before="220" w:after="40"/>
        <w:rPr/>
      </w:pPr>
      <w:r>
        <w:rPr>
          <w:rFonts w:eastAsia="Arial" w:cs="Arial"/>
          <w:b/>
          <w:bCs/>
          <w:color w:val="1F3864"/>
          <w:sz w:val="22"/>
          <w:szCs w:val="22"/>
        </w:rPr>
        <w:t>PROFESSIONAL SUMMARY</w:t>
      </w:r>
    </w:p>
    <w:p>
      <w:pPr>
        <w:pStyle w:val="Normal"/>
        <w:spacing w:before="60" w:after="60"/>
        <w:rPr/>
      </w:pPr>
      <w:r>
        <w:rPr>
          <w:rFonts w:eastAsia="Arial" w:cs="Arial"/>
          <w:color w:val="212121"/>
          <w:sz w:val="19"/>
          <w:szCs w:val="19"/>
        </w:rPr>
        <w:t>Cloud Admin and DevOps Engineer with 3 years of experience deploying and managing cloud infrastructure on Microsoft Azure and AWS. Proven expertise in CI/CD pipeline automation using Azure DevOps and GitHub Actions, Infrastructure as Code with Terraform, container orchestration on AKS and EKS, and DevSecOps practices using Snyk and SonarQube. Hands-on experience in Azure Networking (VNETs, NSGs, Private Endpoints, DNS, App Services, AKS), cloud security (IAM, RBAC, Key Vault, Firewall), and monitoring using Azure Monitor, Log Analytics, Application Insights, and Datadog. Skilled in PowerShell and Python automation for operational efficiency. Passionate about cloud reliability, incident management, and driving operational excellence through automation.</w:t>
      </w:r>
    </w:p>
    <w:p>
      <w:pPr>
        <w:pStyle w:val="Normal"/>
        <w:pBdr>
          <w:bottom w:val="single" w:sz="6" w:space="1" w:color="2E75B6"/>
        </w:pBdr>
        <w:spacing w:before="220" w:after="40"/>
        <w:rPr/>
      </w:pPr>
      <w:r>
        <w:rPr>
          <w:rFonts w:eastAsia="Arial" w:cs="Arial"/>
          <w:b/>
          <w:bCs/>
          <w:color w:val="1F3864"/>
          <w:sz w:val="22"/>
          <w:szCs w:val="22"/>
        </w:rPr>
        <w:t>TECHNICAL SKILLS</w:t>
      </w:r>
    </w:p>
    <w:tbl>
      <w:tblPr>
        <w:tblW w:w="9360" w:type="dxa"/>
        <w:jc w:val="left"/>
        <w:tblInd w:w="0" w:type="dxa"/>
        <w:tblLayout w:type="fixed"/>
        <w:tblCellMar>
          <w:top w:w="60" w:type="dxa"/>
          <w:left w:w="0" w:type="dxa"/>
          <w:bottom w:w="60" w:type="dxa"/>
          <w:right w:w="80" w:type="dxa"/>
        </w:tblCellMar>
      </w:tblPr>
      <w:tblGrid>
        <w:gridCol w:w="1900"/>
        <w:gridCol w:w="7459"/>
      </w:tblGrid>
      <w:tr>
        <w:trPr/>
        <w:tc>
          <w:tcPr>
            <w:tcW w:w="1900" w:type="dxa"/>
            <w:tcBorders/>
          </w:tcPr>
          <w:p>
            <w:pPr>
              <w:pStyle w:val="Normal"/>
              <w:widowControl w:val="false"/>
              <w:rPr/>
            </w:pPr>
            <w:r>
              <w:rPr>
                <w:rFonts w:eastAsia="Arial" w:cs="Arial"/>
                <w:b/>
                <w:bCs/>
                <w:color w:val="1F3864"/>
                <w:sz w:val="18"/>
                <w:szCs w:val="18"/>
              </w:rPr>
              <w:t>Cloud Platforms</w:t>
            </w:r>
          </w:p>
        </w:tc>
        <w:tc>
          <w:tcPr>
            <w:tcW w:w="7459" w:type="dxa"/>
            <w:tcBorders/>
            <w:tcMar>
              <w:left w:w="80" w:type="dxa"/>
              <w:right w:w="0" w:type="dxa"/>
            </w:tcMar>
          </w:tcPr>
          <w:p>
            <w:pPr>
              <w:pStyle w:val="Normal"/>
              <w:widowControl w:val="false"/>
              <w:rPr/>
            </w:pPr>
            <w:r>
              <w:rPr>
                <w:rFonts w:eastAsia="Arial" w:cs="Arial"/>
                <w:color w:val="212121"/>
                <w:sz w:val="18"/>
                <w:szCs w:val="18"/>
              </w:rPr>
              <w:t>Microsoft Azure, Amazon Web Services (AWS)</w:t>
            </w:r>
          </w:p>
        </w:tc>
      </w:tr>
      <w:tr>
        <w:trPr/>
        <w:tc>
          <w:tcPr>
            <w:tcW w:w="1900" w:type="dxa"/>
            <w:tcBorders/>
          </w:tcPr>
          <w:p>
            <w:pPr>
              <w:pStyle w:val="Normal"/>
              <w:widowControl w:val="false"/>
              <w:rPr/>
            </w:pPr>
            <w:r>
              <w:rPr>
                <w:rFonts w:eastAsia="Arial" w:cs="Arial"/>
                <w:b/>
                <w:bCs/>
                <w:color w:val="1F3864"/>
                <w:sz w:val="18"/>
                <w:szCs w:val="18"/>
              </w:rPr>
              <w:t>CI/CD &amp; DevOps</w:t>
            </w:r>
          </w:p>
        </w:tc>
        <w:tc>
          <w:tcPr>
            <w:tcW w:w="7459" w:type="dxa"/>
            <w:tcBorders/>
            <w:tcMar>
              <w:left w:w="80" w:type="dxa"/>
              <w:right w:w="0" w:type="dxa"/>
            </w:tcMar>
          </w:tcPr>
          <w:p>
            <w:pPr>
              <w:pStyle w:val="Normal"/>
              <w:widowControl w:val="false"/>
              <w:rPr/>
            </w:pPr>
            <w:r>
              <w:rPr>
                <w:rFonts w:eastAsia="Arial" w:cs="Arial"/>
                <w:color w:val="212121"/>
                <w:sz w:val="18"/>
                <w:szCs w:val="18"/>
              </w:rPr>
              <w:t>Azure DevOps Pipelines, GitHub Actions, Git, GitOps</w:t>
            </w:r>
          </w:p>
        </w:tc>
      </w:tr>
      <w:tr>
        <w:trPr/>
        <w:tc>
          <w:tcPr>
            <w:tcW w:w="1900" w:type="dxa"/>
            <w:tcBorders/>
          </w:tcPr>
          <w:p>
            <w:pPr>
              <w:pStyle w:val="Normal"/>
              <w:widowControl w:val="false"/>
              <w:rPr/>
            </w:pPr>
            <w:r>
              <w:rPr>
                <w:rFonts w:eastAsia="Arial" w:cs="Arial"/>
                <w:b/>
                <w:bCs/>
                <w:color w:val="1F3864"/>
                <w:sz w:val="18"/>
                <w:szCs w:val="18"/>
              </w:rPr>
              <w:t>Containers &amp; K8s</w:t>
            </w:r>
          </w:p>
        </w:tc>
        <w:tc>
          <w:tcPr>
            <w:tcW w:w="7459" w:type="dxa"/>
            <w:tcBorders/>
            <w:tcMar>
              <w:left w:w="80" w:type="dxa"/>
              <w:right w:w="0" w:type="dxa"/>
            </w:tcMar>
          </w:tcPr>
          <w:p>
            <w:pPr>
              <w:pStyle w:val="Normal"/>
              <w:widowControl w:val="false"/>
              <w:rPr/>
            </w:pPr>
            <w:r>
              <w:rPr>
                <w:rFonts w:eastAsia="Arial" w:cs="Arial"/>
                <w:color w:val="212121"/>
                <w:sz w:val="18"/>
                <w:szCs w:val="18"/>
              </w:rPr>
              <w:t>Docker, Kubernetes (AKS, EKS), Azure Container Registry (ACR), Amazon ECR</w:t>
            </w:r>
          </w:p>
        </w:tc>
      </w:tr>
      <w:tr>
        <w:trPr/>
        <w:tc>
          <w:tcPr>
            <w:tcW w:w="1900" w:type="dxa"/>
            <w:tcBorders/>
          </w:tcPr>
          <w:p>
            <w:pPr>
              <w:pStyle w:val="Normal"/>
              <w:widowControl w:val="false"/>
              <w:rPr/>
            </w:pPr>
            <w:r>
              <w:rPr>
                <w:rFonts w:eastAsia="Arial" w:cs="Arial"/>
                <w:b/>
                <w:bCs/>
                <w:color w:val="1F3864"/>
                <w:sz w:val="18"/>
                <w:szCs w:val="18"/>
              </w:rPr>
              <w:t>IaC &amp; Scripting</w:t>
            </w:r>
          </w:p>
        </w:tc>
        <w:tc>
          <w:tcPr>
            <w:tcW w:w="7459" w:type="dxa"/>
            <w:tcBorders/>
            <w:tcMar>
              <w:left w:w="80" w:type="dxa"/>
              <w:right w:w="0" w:type="dxa"/>
            </w:tcMar>
          </w:tcPr>
          <w:p>
            <w:pPr>
              <w:pStyle w:val="Normal"/>
              <w:widowControl w:val="false"/>
              <w:rPr/>
            </w:pPr>
            <w:r>
              <w:rPr>
                <w:rFonts w:eastAsia="Arial" w:cs="Arial"/>
                <w:color w:val="212121"/>
                <w:sz w:val="18"/>
                <w:szCs w:val="18"/>
              </w:rPr>
              <w:t>Terraform (modules, remote state), PowerShell, AZ CLI, Python (automation &amp; auditing), YAML</w:t>
            </w:r>
          </w:p>
        </w:tc>
      </w:tr>
      <w:tr>
        <w:trPr/>
        <w:tc>
          <w:tcPr>
            <w:tcW w:w="1900" w:type="dxa"/>
            <w:tcBorders/>
          </w:tcPr>
          <w:p>
            <w:pPr>
              <w:pStyle w:val="Normal"/>
              <w:widowControl w:val="false"/>
              <w:rPr/>
            </w:pPr>
            <w:r>
              <w:rPr>
                <w:rFonts w:eastAsia="Arial" w:cs="Arial"/>
                <w:b/>
                <w:bCs/>
                <w:color w:val="1F3864"/>
                <w:sz w:val="18"/>
                <w:szCs w:val="18"/>
              </w:rPr>
              <w:t>Azure Networking</w:t>
            </w:r>
          </w:p>
        </w:tc>
        <w:tc>
          <w:tcPr>
            <w:tcW w:w="7459" w:type="dxa"/>
            <w:tcBorders/>
            <w:tcMar>
              <w:left w:w="80" w:type="dxa"/>
              <w:right w:w="0" w:type="dxa"/>
            </w:tcMar>
          </w:tcPr>
          <w:p>
            <w:pPr>
              <w:pStyle w:val="Normal"/>
              <w:widowControl w:val="false"/>
              <w:rPr/>
            </w:pPr>
            <w:r>
              <w:rPr>
                <w:rFonts w:eastAsia="Arial" w:cs="Arial"/>
                <w:color w:val="212121"/>
                <w:sz w:val="18"/>
                <w:szCs w:val="18"/>
              </w:rPr>
              <w:t>VNETs, Subnets, NSGs, ASGs, Private Endpoints, Service Endpoints, DNS, Azure Firewall, Load Balancers, App Gateway</w:t>
            </w:r>
          </w:p>
        </w:tc>
      </w:tr>
      <w:tr>
        <w:trPr/>
        <w:tc>
          <w:tcPr>
            <w:tcW w:w="1900" w:type="dxa"/>
            <w:tcBorders/>
          </w:tcPr>
          <w:p>
            <w:pPr>
              <w:pStyle w:val="Normal"/>
              <w:widowControl w:val="false"/>
              <w:rPr/>
            </w:pPr>
            <w:r>
              <w:rPr>
                <w:rFonts w:eastAsia="Arial" w:cs="Arial"/>
                <w:b/>
                <w:bCs/>
                <w:color w:val="1F3864"/>
                <w:sz w:val="18"/>
                <w:szCs w:val="18"/>
              </w:rPr>
              <w:t>AWS Networking</w:t>
            </w:r>
          </w:p>
        </w:tc>
        <w:tc>
          <w:tcPr>
            <w:tcW w:w="7459" w:type="dxa"/>
            <w:tcBorders/>
            <w:tcMar>
              <w:left w:w="80" w:type="dxa"/>
              <w:right w:w="0" w:type="dxa"/>
            </w:tcMar>
          </w:tcPr>
          <w:p>
            <w:pPr>
              <w:pStyle w:val="Normal"/>
              <w:widowControl w:val="false"/>
              <w:rPr/>
            </w:pPr>
            <w:r>
              <w:rPr>
                <w:rFonts w:eastAsia="Arial" w:cs="Arial"/>
                <w:color w:val="212121"/>
                <w:sz w:val="18"/>
                <w:szCs w:val="18"/>
              </w:rPr>
              <w:t>VPC, VPC Peering, Transit Gateway, VPC Endpoints, Security Groups, NACLs, AWS Network Firewall, Route 53</w:t>
            </w:r>
          </w:p>
        </w:tc>
      </w:tr>
      <w:tr>
        <w:trPr/>
        <w:tc>
          <w:tcPr>
            <w:tcW w:w="1900" w:type="dxa"/>
            <w:tcBorders/>
          </w:tcPr>
          <w:p>
            <w:pPr>
              <w:pStyle w:val="Normal"/>
              <w:widowControl w:val="false"/>
              <w:rPr/>
            </w:pPr>
            <w:r>
              <w:rPr>
                <w:rFonts w:eastAsia="Arial" w:cs="Arial"/>
                <w:b/>
                <w:bCs/>
                <w:color w:val="1F3864"/>
                <w:sz w:val="18"/>
                <w:szCs w:val="18"/>
              </w:rPr>
              <w:t>Monitoring &amp; Obs.</w:t>
            </w:r>
          </w:p>
        </w:tc>
        <w:tc>
          <w:tcPr>
            <w:tcW w:w="7459" w:type="dxa"/>
            <w:tcBorders/>
            <w:tcMar>
              <w:left w:w="80" w:type="dxa"/>
              <w:right w:w="0" w:type="dxa"/>
            </w:tcMar>
          </w:tcPr>
          <w:p>
            <w:pPr>
              <w:pStyle w:val="Normal"/>
              <w:widowControl w:val="false"/>
              <w:rPr/>
            </w:pPr>
            <w:r>
              <w:rPr>
                <w:rFonts w:eastAsia="Arial" w:cs="Arial"/>
                <w:color w:val="212121"/>
                <w:sz w:val="18"/>
                <w:szCs w:val="18"/>
              </w:rPr>
              <w:t>Azure Monitor, Log Analytics Workspace, Application Insights, Datadog, CloudWatch, SNS</w:t>
            </w:r>
          </w:p>
        </w:tc>
      </w:tr>
      <w:tr>
        <w:trPr/>
        <w:tc>
          <w:tcPr>
            <w:tcW w:w="1900" w:type="dxa"/>
            <w:tcBorders/>
          </w:tcPr>
          <w:p>
            <w:pPr>
              <w:pStyle w:val="Normal"/>
              <w:widowControl w:val="false"/>
              <w:rPr/>
            </w:pPr>
            <w:r>
              <w:rPr>
                <w:rFonts w:eastAsia="Arial" w:cs="Arial"/>
                <w:b/>
                <w:bCs/>
                <w:color w:val="1F3864"/>
                <w:sz w:val="18"/>
                <w:szCs w:val="18"/>
              </w:rPr>
              <w:t>Security</w:t>
            </w:r>
          </w:p>
        </w:tc>
        <w:tc>
          <w:tcPr>
            <w:tcW w:w="7459" w:type="dxa"/>
            <w:tcBorders/>
            <w:tcMar>
              <w:left w:w="80" w:type="dxa"/>
              <w:right w:w="0" w:type="dxa"/>
            </w:tcMar>
          </w:tcPr>
          <w:p>
            <w:pPr>
              <w:pStyle w:val="Normal"/>
              <w:widowControl w:val="false"/>
              <w:rPr/>
            </w:pPr>
            <w:r>
              <w:rPr>
                <w:rFonts w:eastAsia="Arial" w:cs="Arial"/>
                <w:color w:val="212121"/>
                <w:sz w:val="18"/>
                <w:szCs w:val="18"/>
              </w:rPr>
              <w:t>IAM, RBAC, Azure Key Vault, AWS KMS, NSGs, Azure Firewall, DevSecOps, Pod Security Standards</w:t>
            </w:r>
          </w:p>
        </w:tc>
      </w:tr>
      <w:tr>
        <w:trPr/>
        <w:tc>
          <w:tcPr>
            <w:tcW w:w="1900" w:type="dxa"/>
            <w:tcBorders/>
          </w:tcPr>
          <w:p>
            <w:pPr>
              <w:pStyle w:val="Normal"/>
              <w:widowControl w:val="false"/>
              <w:rPr/>
            </w:pPr>
            <w:r>
              <w:rPr>
                <w:rFonts w:eastAsia="Arial" w:cs="Arial"/>
                <w:b/>
                <w:bCs/>
                <w:color w:val="1F3864"/>
                <w:sz w:val="18"/>
                <w:szCs w:val="18"/>
              </w:rPr>
              <w:t>DevSecOps Tools</w:t>
            </w:r>
          </w:p>
        </w:tc>
        <w:tc>
          <w:tcPr>
            <w:tcW w:w="7459" w:type="dxa"/>
            <w:tcBorders/>
            <w:tcMar>
              <w:left w:w="80" w:type="dxa"/>
              <w:right w:w="0" w:type="dxa"/>
            </w:tcMar>
          </w:tcPr>
          <w:p>
            <w:pPr>
              <w:pStyle w:val="Normal"/>
              <w:widowControl w:val="false"/>
              <w:rPr/>
            </w:pPr>
            <w:r>
              <w:rPr>
                <w:rFonts w:eastAsia="Arial" w:cs="Arial"/>
                <w:color w:val="212121"/>
                <w:sz w:val="18"/>
                <w:szCs w:val="18"/>
              </w:rPr>
              <w:t>Snyk (vulnerability scanning), SonarQube (SAST), BlackDuck (license compliance)</w:t>
            </w:r>
          </w:p>
        </w:tc>
      </w:tr>
      <w:tr>
        <w:trPr/>
        <w:tc>
          <w:tcPr>
            <w:tcW w:w="1900" w:type="dxa"/>
            <w:tcBorders/>
          </w:tcPr>
          <w:p>
            <w:pPr>
              <w:pStyle w:val="Normal"/>
              <w:widowControl w:val="false"/>
              <w:rPr/>
            </w:pPr>
            <w:r>
              <w:rPr>
                <w:rFonts w:eastAsia="Arial" w:cs="Arial"/>
                <w:b/>
                <w:bCs/>
                <w:color w:val="1F3864"/>
                <w:sz w:val="18"/>
                <w:szCs w:val="18"/>
              </w:rPr>
              <w:t>Other</w:t>
            </w:r>
          </w:p>
        </w:tc>
        <w:tc>
          <w:tcPr>
            <w:tcW w:w="7459" w:type="dxa"/>
            <w:tcBorders/>
            <w:tcMar>
              <w:left w:w="80" w:type="dxa"/>
              <w:right w:w="0" w:type="dxa"/>
            </w:tcMar>
          </w:tcPr>
          <w:p>
            <w:pPr>
              <w:pStyle w:val="Normal"/>
              <w:widowControl w:val="false"/>
              <w:rPr/>
            </w:pPr>
            <w:r>
              <w:rPr>
                <w:rFonts w:eastAsia="Arial" w:cs="Arial"/>
                <w:color w:val="212121"/>
                <w:sz w:val="18"/>
                <w:szCs w:val="18"/>
              </w:rPr>
              <w:t>MSSQL, Active Directory, ServiceNow, Azure Static Web Apps, Azure NetApp Files</w:t>
            </w:r>
          </w:p>
        </w:tc>
      </w:tr>
    </w:tbl>
    <w:p>
      <w:pPr>
        <w:pStyle w:val="Normal"/>
        <w:spacing w:before="0" w:after="80"/>
        <w:rPr/>
      </w:pPr>
      <w:r>
        <w:rPr/>
      </w:r>
    </w:p>
    <w:p>
      <w:pPr>
        <w:pStyle w:val="Normal"/>
        <w:pBdr>
          <w:bottom w:val="single" w:sz="6" w:space="1" w:color="2E75B6"/>
        </w:pBdr>
        <w:spacing w:before="220" w:after="40"/>
        <w:rPr/>
      </w:pPr>
      <w:r>
        <w:rPr>
          <w:rFonts w:eastAsia="Arial" w:cs="Arial"/>
          <w:b/>
          <w:bCs/>
          <w:color w:val="1F3864"/>
          <w:sz w:val="22"/>
          <w:szCs w:val="22"/>
        </w:rPr>
        <w:t>WORK EXPERIENCE</w:t>
      </w:r>
    </w:p>
    <w:tbl>
      <w:tblPr>
        <w:tblW w:w="9360" w:type="dxa"/>
        <w:jc w:val="left"/>
        <w:tblInd w:w="0" w:type="dxa"/>
        <w:tblLayout w:type="fixed"/>
        <w:tblCellMar>
          <w:top w:w="0" w:type="dxa"/>
          <w:left w:w="108" w:type="dxa"/>
          <w:bottom w:w="0" w:type="dxa"/>
          <w:right w:w="108" w:type="dxa"/>
        </w:tblCellMar>
      </w:tblPr>
      <w:tblGrid>
        <w:gridCol w:w="6499"/>
        <w:gridCol w:w="2860"/>
      </w:tblGrid>
      <w:tr>
        <w:trPr>
          <w:cantSplit w:val="true"/>
        </w:trPr>
        <w:tc>
          <w:tcPr>
            <w:tcW w:w="6499" w:type="dxa"/>
            <w:tcBorders/>
          </w:tcPr>
          <w:p>
            <w:pPr>
              <w:pStyle w:val="Normal"/>
              <w:keepNext w:val="true"/>
              <w:widowControl w:val="false"/>
              <w:spacing w:before="160" w:after="20"/>
              <w:rPr/>
            </w:pPr>
            <w:r>
              <w:rPr>
                <w:rFonts w:eastAsia="Arial" w:cs="Arial"/>
                <w:b/>
                <w:bCs/>
                <w:color w:val="1F3864"/>
                <w:sz w:val="21"/>
                <w:szCs w:val="21"/>
              </w:rPr>
              <w:t>CloudOps Engineer</w:t>
            </w:r>
          </w:p>
          <w:p>
            <w:pPr>
              <w:pStyle w:val="Normal"/>
              <w:keepNext w:val="true"/>
              <w:widowControl w:val="false"/>
              <w:spacing w:before="0" w:after="30"/>
              <w:rPr/>
            </w:pPr>
            <w:r>
              <w:rPr>
                <w:rFonts w:eastAsia="Arial" w:cs="Arial"/>
                <w:b/>
                <w:bCs/>
                <w:color w:val="2E5FA3"/>
                <w:sz w:val="19"/>
                <w:szCs w:val="19"/>
              </w:rPr>
              <w:t>AB InBev (Payroll: TEKsystems)</w:t>
            </w:r>
            <w:r>
              <w:rPr>
                <w:rFonts w:eastAsia="Arial" w:cs="Arial"/>
                <w:color w:val="666666"/>
                <w:sz w:val="18"/>
                <w:szCs w:val="18"/>
              </w:rPr>
              <w:t xml:space="preserve">  |  Bangalore</w:t>
            </w:r>
          </w:p>
        </w:tc>
        <w:tc>
          <w:tcPr>
            <w:tcW w:w="2860" w:type="dxa"/>
            <w:tcBorders/>
            <w:vAlign w:val="center"/>
          </w:tcPr>
          <w:p>
            <w:pPr>
              <w:pStyle w:val="Normal"/>
              <w:keepNext w:val="true"/>
              <w:widowControl w:val="false"/>
              <w:spacing w:before="160" w:after="30"/>
              <w:jc w:val="right"/>
              <w:rPr/>
            </w:pPr>
            <w:r>
              <w:rPr>
                <w:rFonts w:eastAsia="Arial" w:cs="Arial"/>
                <w:i/>
                <w:iCs/>
                <w:color w:val="666666"/>
                <w:sz w:val="18"/>
                <w:szCs w:val="18"/>
              </w:rPr>
              <w:t>Jul 2025 – Present</w:t>
            </w:r>
          </w:p>
        </w:tc>
      </w:tr>
    </w:tbl>
    <w:p>
      <w:pPr>
        <w:pStyle w:val="Normal"/>
        <w:keepNext w:val="true"/>
        <w:spacing w:before="10" w:after="20"/>
        <w:rPr/>
      </w:pPr>
      <w:r>
        <w:rPr>
          <w:rFonts w:eastAsia="Arial" w:cs="Arial"/>
          <w:i/>
          <w:iCs/>
          <w:color w:val="666666"/>
          <w:sz w:val="18"/>
          <w:szCs w:val="18"/>
        </w:rPr>
        <w:t>AB InBev is one of the world's largest multinational beverage and brewing companies.</w:t>
      </w:r>
    </w:p>
    <w:p>
      <w:pPr>
        <w:pStyle w:val="ListParagraph"/>
        <w:numPr>
          <w:ilvl w:val="0"/>
          <w:numId w:val="3"/>
        </w:numPr>
        <w:spacing w:before="20" w:after="20"/>
        <w:rPr/>
      </w:pPr>
      <w:r>
        <w:rPr>
          <w:rFonts w:eastAsia="Arial" w:cs="Arial"/>
          <w:color w:val="212121"/>
          <w:sz w:val="19"/>
          <w:szCs w:val="19"/>
        </w:rPr>
        <w:t>Managing and supporting enterprise-scale Azure cloud infrastructure ensuring high availability, operational stability, and secure cloud operations across production environments.</w:t>
      </w:r>
    </w:p>
    <w:p>
      <w:pPr>
        <w:pStyle w:val="ListParagraph"/>
        <w:numPr>
          <w:ilvl w:val="0"/>
          <w:numId w:val="1"/>
        </w:numPr>
        <w:spacing w:before="20" w:after="20"/>
        <w:rPr/>
      </w:pPr>
      <w:r>
        <w:rPr>
          <w:rFonts w:eastAsia="Arial" w:cs="Arial"/>
          <w:color w:val="212121"/>
          <w:sz w:val="19"/>
          <w:szCs w:val="19"/>
        </w:rPr>
        <w:t>Designed and deployed Azure environments using Terraform and AZ CLI managing VMs, Web Apps, Storage Accounts, and Azure Networking (VNETs, Subnets, NSGs, ASGs, Service Endpoints, Private Endpoints) — reduced manual provisioning effort by 60%.</w:t>
      </w:r>
    </w:p>
    <w:p>
      <w:pPr>
        <w:pStyle w:val="ListParagraph"/>
        <w:numPr>
          <w:ilvl w:val="0"/>
          <w:numId w:val="1"/>
        </w:numPr>
        <w:spacing w:before="20" w:after="20"/>
        <w:rPr/>
      </w:pPr>
      <w:r>
        <w:rPr>
          <w:rFonts w:eastAsia="Arial" w:cs="Arial"/>
          <w:color w:val="212121"/>
          <w:sz w:val="19"/>
          <w:szCs w:val="19"/>
        </w:rPr>
        <w:t>Developed reusable Terraform modules for Azure resource provisioning; automated end-to-end deployments via Azure DevOps Pipelines and GitHub Actions  reduced deployment errors by 40%.</w:t>
      </w:r>
    </w:p>
    <w:p>
      <w:pPr>
        <w:pStyle w:val="ListParagraph"/>
        <w:numPr>
          <w:ilvl w:val="0"/>
          <w:numId w:val="1"/>
        </w:numPr>
        <w:spacing w:before="20" w:after="20"/>
        <w:rPr/>
      </w:pPr>
      <w:r>
        <w:rPr>
          <w:rFonts w:eastAsia="Arial" w:cs="Arial"/>
          <w:color w:val="212121"/>
          <w:sz w:val="19"/>
          <w:szCs w:val="19"/>
        </w:rPr>
        <w:t>Troubleshooting and resolution of complex Azure infrastructure issues involving Virtual Networks, Private Endpoints, DNS resolution, NSGs, Load Balancers, App Services, AKS, and hybrid connectivity scenarios.</w:t>
      </w:r>
    </w:p>
    <w:p>
      <w:pPr>
        <w:pStyle w:val="ListParagraph"/>
        <w:numPr>
          <w:ilvl w:val="0"/>
          <w:numId w:val="1"/>
        </w:numPr>
        <w:spacing w:before="20" w:after="20"/>
        <w:rPr/>
      </w:pPr>
      <w:r>
        <w:rPr>
          <w:rFonts w:eastAsia="Arial" w:cs="Arial"/>
          <w:color w:val="212121"/>
          <w:sz w:val="19"/>
          <w:szCs w:val="19"/>
        </w:rPr>
        <w:t>Supporting containerized workloads on Azure Kubernetes Service (AKS) — deployment troubleshooting, Ingress management, ACR image pull failures, pod scaling, and cluster-level operational support.</w:t>
      </w:r>
    </w:p>
    <w:p>
      <w:pPr>
        <w:pStyle w:val="ListParagraph"/>
        <w:numPr>
          <w:ilvl w:val="0"/>
          <w:numId w:val="1"/>
        </w:numPr>
        <w:spacing w:before="20" w:after="20"/>
        <w:rPr/>
      </w:pPr>
      <w:r>
        <w:rPr>
          <w:rFonts w:eastAsia="Arial" w:cs="Arial"/>
          <w:color w:val="212121"/>
          <w:sz w:val="19"/>
          <w:szCs w:val="19"/>
        </w:rPr>
        <w:t>Managing Azure Container Registry (ACR) integrations and secure image deployment workflows for enterprise applications running on AKS and App Services.</w:t>
      </w:r>
    </w:p>
    <w:p>
      <w:pPr>
        <w:pStyle w:val="ListParagraph"/>
        <w:numPr>
          <w:ilvl w:val="0"/>
          <w:numId w:val="1"/>
        </w:numPr>
        <w:spacing w:before="20" w:after="20"/>
        <w:rPr/>
      </w:pPr>
      <w:r>
        <w:rPr>
          <w:rFonts w:eastAsia="Arial" w:cs="Arial"/>
          <w:color w:val="212121"/>
          <w:sz w:val="19"/>
          <w:szCs w:val="19"/>
        </w:rPr>
        <w:t>Performing proactive monitoring and observability using Azure Monitor, Log Analytics Workspace, Application Insights, and Datadog  tracking AKS cluster health, Key Vault access, Service Bus capacity, and secrets across production environments.</w:t>
      </w:r>
    </w:p>
    <w:p>
      <w:pPr>
        <w:pStyle w:val="ListParagraph"/>
        <w:numPr>
          <w:ilvl w:val="0"/>
          <w:numId w:val="1"/>
        </w:numPr>
        <w:spacing w:before="20" w:after="20"/>
        <w:rPr/>
      </w:pPr>
      <w:r>
        <w:rPr>
          <w:rFonts w:eastAsia="Arial" w:cs="Arial"/>
          <w:color w:val="212121"/>
          <w:sz w:val="19"/>
          <w:szCs w:val="19"/>
        </w:rPr>
        <w:t>Contributing to operational excellence through RCA preparation, automation of repetitive tasks using PowerShell and Python, and continuous improvement of cloud support processes.</w:t>
      </w:r>
    </w:p>
    <w:p>
      <w:pPr>
        <w:pStyle w:val="Normal"/>
        <w:spacing w:before="0" w:after="60"/>
        <w:rPr/>
      </w:pPr>
      <w:r>
        <w:rPr/>
      </w:r>
    </w:p>
    <w:tbl>
      <w:tblPr>
        <w:tblW w:w="9360" w:type="dxa"/>
        <w:jc w:val="left"/>
        <w:tblInd w:w="0" w:type="dxa"/>
        <w:tblLayout w:type="fixed"/>
        <w:tblCellMar>
          <w:top w:w="0" w:type="dxa"/>
          <w:left w:w="108" w:type="dxa"/>
          <w:bottom w:w="0" w:type="dxa"/>
          <w:right w:w="108" w:type="dxa"/>
        </w:tblCellMar>
      </w:tblPr>
      <w:tblGrid>
        <w:gridCol w:w="6499"/>
        <w:gridCol w:w="2860"/>
      </w:tblGrid>
      <w:tr>
        <w:trPr>
          <w:cantSplit w:val="true"/>
        </w:trPr>
        <w:tc>
          <w:tcPr>
            <w:tcW w:w="6499" w:type="dxa"/>
            <w:tcBorders/>
          </w:tcPr>
          <w:p>
            <w:pPr>
              <w:pStyle w:val="Normal"/>
              <w:keepNext w:val="true"/>
              <w:widowControl w:val="false"/>
              <w:spacing w:before="160" w:after="20"/>
              <w:rPr/>
            </w:pPr>
            <w:r>
              <w:rPr>
                <w:rFonts w:eastAsia="Arial" w:cs="Arial"/>
                <w:b/>
                <w:bCs/>
                <w:color w:val="1F3864"/>
                <w:sz w:val="21"/>
                <w:szCs w:val="21"/>
              </w:rPr>
              <w:t>DevOps Engineer</w:t>
            </w:r>
          </w:p>
          <w:p>
            <w:pPr>
              <w:pStyle w:val="Normal"/>
              <w:keepNext w:val="true"/>
              <w:widowControl w:val="false"/>
              <w:spacing w:before="0" w:after="30"/>
              <w:rPr/>
            </w:pPr>
            <w:r>
              <w:rPr>
                <w:rFonts w:eastAsia="Arial" w:cs="Arial"/>
                <w:b/>
                <w:bCs/>
                <w:color w:val="2E5FA3"/>
                <w:sz w:val="19"/>
                <w:szCs w:val="19"/>
              </w:rPr>
              <w:t>Daimler Trucks Innovation Center India (Payroll: JoulesToWatts)</w:t>
            </w:r>
            <w:r>
              <w:rPr>
                <w:rFonts w:eastAsia="Arial" w:cs="Arial"/>
                <w:color w:val="666666"/>
                <w:sz w:val="18"/>
                <w:szCs w:val="18"/>
              </w:rPr>
              <w:t xml:space="preserve">  |  Bangalore</w:t>
            </w:r>
          </w:p>
        </w:tc>
        <w:tc>
          <w:tcPr>
            <w:tcW w:w="2860" w:type="dxa"/>
            <w:tcBorders/>
            <w:vAlign w:val="center"/>
          </w:tcPr>
          <w:p>
            <w:pPr>
              <w:pStyle w:val="Normal"/>
              <w:keepNext w:val="true"/>
              <w:widowControl w:val="false"/>
              <w:spacing w:before="160" w:after="30"/>
              <w:jc w:val="right"/>
              <w:rPr/>
            </w:pPr>
            <w:r>
              <w:rPr>
                <w:rFonts w:eastAsia="Arial" w:cs="Arial"/>
                <w:i/>
                <w:iCs/>
                <w:color w:val="666666"/>
                <w:sz w:val="18"/>
                <w:szCs w:val="18"/>
              </w:rPr>
              <w:t>Feb 2025 – Jul 2025</w:t>
            </w:r>
          </w:p>
        </w:tc>
      </w:tr>
    </w:tbl>
    <w:p>
      <w:pPr>
        <w:pStyle w:val="Normal"/>
        <w:keepNext w:val="true"/>
        <w:spacing w:before="10" w:after="20"/>
        <w:rPr/>
      </w:pPr>
      <w:r>
        <w:rPr>
          <w:rFonts w:eastAsia="Arial" w:cs="Arial"/>
          <w:i/>
          <w:iCs/>
          <w:color w:val="666666"/>
          <w:sz w:val="18"/>
          <w:szCs w:val="18"/>
        </w:rPr>
        <w:t>Daimler Trucks is a leading manufacturer of commercial vehicles.</w:t>
      </w:r>
    </w:p>
    <w:p>
      <w:pPr>
        <w:pStyle w:val="ListParagraph"/>
        <w:numPr>
          <w:ilvl w:val="0"/>
          <w:numId w:val="1"/>
        </w:numPr>
        <w:spacing w:before="20" w:after="20"/>
        <w:rPr/>
      </w:pPr>
      <w:r>
        <w:rPr>
          <w:rFonts w:eastAsia="Arial" w:cs="Arial"/>
          <w:color w:val="212121"/>
          <w:sz w:val="19"/>
          <w:szCs w:val="19"/>
        </w:rPr>
        <w:t>Managed GitHub repositories and implemented GitHub Actions CI/CD pipelines for a full-scale monorepository housing Angular (frontend) and Node.js (backend); modularized reusable workflows to enforce CI/CD standards and reduce maintenance overhead.</w:t>
      </w:r>
    </w:p>
    <w:p>
      <w:pPr>
        <w:pStyle w:val="ListParagraph"/>
        <w:numPr>
          <w:ilvl w:val="0"/>
          <w:numId w:val="1"/>
        </w:numPr>
        <w:spacing w:before="20" w:after="20"/>
        <w:rPr/>
      </w:pPr>
      <w:r>
        <w:rPr>
          <w:rFonts w:eastAsia="Arial" w:cs="Arial"/>
          <w:color w:val="212121"/>
          <w:sz w:val="19"/>
          <w:szCs w:val="19"/>
        </w:rPr>
        <w:t>Integrated DevSecOps toolchain: Snyk for vulnerability scanning, SonarQube for static code analysis (SAST), and BlackDuck for open-source license compliance  embedding security gates in every CI pipeline before deployment.</w:t>
      </w:r>
    </w:p>
    <w:p>
      <w:pPr>
        <w:pStyle w:val="ListParagraph"/>
        <w:numPr>
          <w:ilvl w:val="0"/>
          <w:numId w:val="1"/>
        </w:numPr>
        <w:spacing w:before="20" w:after="20"/>
        <w:rPr/>
      </w:pPr>
      <w:r>
        <w:rPr>
          <w:rFonts w:eastAsia="Arial" w:cs="Arial"/>
          <w:color w:val="212121"/>
          <w:sz w:val="19"/>
          <w:szCs w:val="19"/>
        </w:rPr>
        <w:t>Built and versioned Docker images for frontend and backend services via Azure Container Registry (ACR); deployed containerized applications to Azure Kubernetes Service (AKS) with environment-specific configurations.</w:t>
      </w:r>
    </w:p>
    <w:p>
      <w:pPr>
        <w:pStyle w:val="ListParagraph"/>
        <w:numPr>
          <w:ilvl w:val="0"/>
          <w:numId w:val="1"/>
        </w:numPr>
        <w:spacing w:before="20" w:after="20"/>
        <w:rPr/>
      </w:pPr>
      <w:r>
        <w:rPr>
          <w:rFonts w:eastAsia="Arial" w:cs="Arial"/>
          <w:color w:val="212121"/>
          <w:sz w:val="19"/>
          <w:szCs w:val="19"/>
        </w:rPr>
        <w:t>Migrated applications from Azure Web Apps to AKS improving scalability and resource efficiency. Deployed static UI components via Azure Static Web Apps for optimized frontend delivery.</w:t>
      </w:r>
    </w:p>
    <w:p>
      <w:pPr>
        <w:pStyle w:val="ListParagraph"/>
        <w:numPr>
          <w:ilvl w:val="0"/>
          <w:numId w:val="1"/>
        </w:numPr>
        <w:spacing w:before="20" w:after="20"/>
        <w:rPr/>
      </w:pPr>
      <w:r>
        <w:rPr>
          <w:rFonts w:eastAsia="Arial" w:cs="Arial"/>
          <w:color w:val="212121"/>
          <w:sz w:val="19"/>
          <w:szCs w:val="19"/>
        </w:rPr>
        <w:t>Participated in Agile Scrum ceremonies (daily standups, sprint planning, retrospectives), aligning DevOps pipeline work closely with product delivery milestones.</w:t>
      </w:r>
    </w:p>
    <w:p>
      <w:pPr>
        <w:pStyle w:val="Normal"/>
        <w:spacing w:before="0" w:after="60"/>
        <w:rPr/>
      </w:pPr>
      <w:r>
        <w:rPr/>
      </w:r>
    </w:p>
    <w:tbl>
      <w:tblPr>
        <w:tblW w:w="9360" w:type="dxa"/>
        <w:jc w:val="left"/>
        <w:tblInd w:w="0" w:type="dxa"/>
        <w:tblLayout w:type="fixed"/>
        <w:tblCellMar>
          <w:top w:w="0" w:type="dxa"/>
          <w:left w:w="108" w:type="dxa"/>
          <w:bottom w:w="0" w:type="dxa"/>
          <w:right w:w="108" w:type="dxa"/>
        </w:tblCellMar>
      </w:tblPr>
      <w:tblGrid>
        <w:gridCol w:w="6499"/>
        <w:gridCol w:w="2860"/>
      </w:tblGrid>
      <w:tr>
        <w:trPr>
          <w:cantSplit w:val="true"/>
        </w:trPr>
        <w:tc>
          <w:tcPr>
            <w:tcW w:w="6499" w:type="dxa"/>
            <w:tcBorders/>
          </w:tcPr>
          <w:p>
            <w:pPr>
              <w:pStyle w:val="Normal"/>
              <w:keepNext w:val="true"/>
              <w:widowControl w:val="false"/>
              <w:spacing w:before="160" w:after="20"/>
              <w:rPr/>
            </w:pPr>
            <w:r>
              <w:rPr>
                <w:rFonts w:eastAsia="Arial" w:cs="Arial"/>
                <w:b/>
                <w:bCs/>
                <w:color w:val="1F3864"/>
                <w:sz w:val="21"/>
                <w:szCs w:val="21"/>
              </w:rPr>
              <w:t>Product Specialist – Technical (DevOps &amp; Cloud)</w:t>
            </w:r>
          </w:p>
          <w:p>
            <w:pPr>
              <w:pStyle w:val="Normal"/>
              <w:keepNext w:val="true"/>
              <w:widowControl w:val="false"/>
              <w:spacing w:before="0" w:after="30"/>
              <w:rPr/>
            </w:pPr>
            <w:r>
              <w:rPr>
                <w:rFonts w:eastAsia="Arial" w:cs="Arial"/>
                <w:b/>
                <w:bCs/>
                <w:color w:val="2E5FA3"/>
                <w:sz w:val="19"/>
                <w:szCs w:val="19"/>
              </w:rPr>
              <w:t>Cognizant Technology Solutions</w:t>
            </w:r>
            <w:r>
              <w:rPr>
                <w:rFonts w:eastAsia="Arial" w:cs="Arial"/>
                <w:color w:val="666666"/>
                <w:sz w:val="18"/>
                <w:szCs w:val="18"/>
              </w:rPr>
              <w:t xml:space="preserve">  |  Bangalore</w:t>
            </w:r>
          </w:p>
        </w:tc>
        <w:tc>
          <w:tcPr>
            <w:tcW w:w="2860" w:type="dxa"/>
            <w:tcBorders/>
            <w:vAlign w:val="center"/>
          </w:tcPr>
          <w:p>
            <w:pPr>
              <w:pStyle w:val="Normal"/>
              <w:keepNext w:val="true"/>
              <w:widowControl w:val="false"/>
              <w:spacing w:before="160" w:after="30"/>
              <w:jc w:val="right"/>
              <w:rPr/>
            </w:pPr>
            <w:r>
              <w:rPr>
                <w:rFonts w:eastAsia="Arial" w:cs="Arial"/>
                <w:i/>
                <w:iCs/>
                <w:color w:val="666666"/>
                <w:sz w:val="18"/>
                <w:szCs w:val="18"/>
              </w:rPr>
              <w:t>May 2022 – Feb 2024</w:t>
            </w:r>
          </w:p>
        </w:tc>
      </w:tr>
    </w:tbl>
    <w:p>
      <w:pPr>
        <w:pStyle w:val="Normal"/>
        <w:keepNext w:val="true"/>
        <w:spacing w:before="10" w:after="20"/>
        <w:rPr/>
      </w:pPr>
      <w:r>
        <w:rPr>
          <w:rFonts w:eastAsia="Arial" w:cs="Arial"/>
          <w:i/>
          <w:iCs/>
          <w:color w:val="666666"/>
          <w:sz w:val="18"/>
          <w:szCs w:val="18"/>
        </w:rPr>
        <w:t>Leading professional services company, transforming clients through cloud and technology.</w:t>
      </w:r>
    </w:p>
    <w:p>
      <w:pPr>
        <w:pStyle w:val="ListParagraph"/>
        <w:numPr>
          <w:ilvl w:val="0"/>
          <w:numId w:val="1"/>
        </w:numPr>
        <w:spacing w:before="20" w:after="20"/>
        <w:rPr/>
      </w:pPr>
      <w:r>
        <w:rPr>
          <w:rFonts w:eastAsia="Arial" w:cs="Arial"/>
          <w:color w:val="212121"/>
          <w:sz w:val="19"/>
          <w:szCs w:val="19"/>
        </w:rPr>
        <w:t>Managed and supported Azure cloud infrastructure for enterprise clients ensuring high availability, operational stability, and secure cloud operations across production environments.</w:t>
      </w:r>
    </w:p>
    <w:p>
      <w:pPr>
        <w:pStyle w:val="ListParagraph"/>
        <w:numPr>
          <w:ilvl w:val="0"/>
          <w:numId w:val="1"/>
        </w:numPr>
        <w:spacing w:before="20" w:after="20"/>
        <w:rPr/>
      </w:pPr>
      <w:r>
        <w:rPr>
          <w:rFonts w:eastAsia="Arial" w:cs="Arial"/>
          <w:color w:val="212121"/>
          <w:sz w:val="19"/>
          <w:szCs w:val="19"/>
        </w:rPr>
        <w:t>Built hub-and-spoke network architectures on AWS using VPC Peering (regional, global, cross-account), Transit Gateway, and VPC Endpoints; configured Security Groups, NACLs, and AWS Network Firewall for defence-in-depth security.</w:t>
      </w:r>
    </w:p>
    <w:p>
      <w:pPr>
        <w:pStyle w:val="ListParagraph"/>
        <w:numPr>
          <w:ilvl w:val="0"/>
          <w:numId w:val="1"/>
        </w:numPr>
        <w:spacing w:before="20" w:after="20"/>
        <w:rPr/>
      </w:pPr>
      <w:r>
        <w:rPr>
          <w:rFonts w:eastAsia="Arial" w:cs="Arial"/>
          <w:color w:val="212121"/>
          <w:sz w:val="19"/>
          <w:szCs w:val="19"/>
        </w:rPr>
        <w:t>Implemented IAM policies, RBAC, Azure Key Vault, AWS KMS, and NSGs across environments — enforcing least-privilege access and cloud security best practices across AWS and Azure.</w:t>
      </w:r>
    </w:p>
    <w:p>
      <w:pPr>
        <w:pStyle w:val="ListParagraph"/>
        <w:numPr>
          <w:ilvl w:val="0"/>
          <w:numId w:val="1"/>
        </w:numPr>
        <w:spacing w:before="20" w:after="20"/>
        <w:rPr/>
      </w:pPr>
      <w:r>
        <w:rPr>
          <w:rFonts w:eastAsia="Arial" w:cs="Arial"/>
          <w:color w:val="212121"/>
          <w:sz w:val="19"/>
          <w:szCs w:val="19"/>
        </w:rPr>
        <w:t>Configured monitoring and observability using CloudWatch, Azure Monitor, and Log Analytics Workspace for proactive performance tracking, troubleshooting, and faster incident response.</w:t>
      </w:r>
    </w:p>
    <w:p>
      <w:pPr>
        <w:pStyle w:val="ListParagraph"/>
        <w:numPr>
          <w:ilvl w:val="0"/>
          <w:numId w:val="1"/>
        </w:numPr>
        <w:spacing w:before="20" w:after="20"/>
        <w:rPr/>
      </w:pPr>
      <w:r>
        <w:rPr>
          <w:rFonts w:eastAsia="Arial" w:cs="Arial"/>
          <w:color w:val="212121"/>
          <w:sz w:val="19"/>
          <w:szCs w:val="19"/>
        </w:rPr>
        <w:t>Automated audit reporting with Python, reducing manual PR compliance tracking effort by 40%; built PowerShell scripts for routine Azure operational and infrastructure tasks.</w:t>
      </w:r>
    </w:p>
    <w:p>
      <w:pPr>
        <w:pStyle w:val="ListParagraph"/>
        <w:numPr>
          <w:ilvl w:val="0"/>
          <w:numId w:val="1"/>
        </w:numPr>
        <w:spacing w:before="20" w:after="20"/>
        <w:rPr/>
      </w:pPr>
      <w:r>
        <w:rPr>
          <w:rFonts w:eastAsia="Arial" w:cs="Arial"/>
          <w:color w:val="212121"/>
          <w:sz w:val="19"/>
          <w:szCs w:val="19"/>
        </w:rPr>
        <w:t>Built Azure DevOps Pipelines and GitHub Actions workflows for IaC provisioning, application deployments, and security compliance checks across DEV, SIT, UAT, and production environments.</w:t>
      </w:r>
    </w:p>
    <w:p>
      <w:pPr>
        <w:pStyle w:val="ListParagraph"/>
        <w:numPr>
          <w:ilvl w:val="0"/>
          <w:numId w:val="1"/>
        </w:numPr>
        <w:spacing w:before="20" w:after="20"/>
        <w:rPr/>
      </w:pPr>
      <w:r>
        <w:rPr>
          <w:rFonts w:eastAsia="Arial" w:cs="Arial"/>
          <w:color w:val="212121"/>
          <w:sz w:val="19"/>
          <w:szCs w:val="19"/>
        </w:rPr>
        <w:t>Investigated IAM permission issues, firewall rules, and VPC/VNET networking problems impacting application accessibility; documented recurring issues to improve long-term system reliability.</w:t>
      </w:r>
    </w:p>
    <w:p>
      <w:pPr>
        <w:pStyle w:val="Normal"/>
        <w:spacing w:before="0" w:after="60"/>
        <w:rPr/>
      </w:pPr>
      <w:r>
        <w:rPr/>
      </w:r>
    </w:p>
    <w:tbl>
      <w:tblPr>
        <w:tblW w:w="9360" w:type="dxa"/>
        <w:jc w:val="left"/>
        <w:tblInd w:w="0" w:type="dxa"/>
        <w:tblLayout w:type="fixed"/>
        <w:tblCellMar>
          <w:top w:w="0" w:type="dxa"/>
          <w:left w:w="108" w:type="dxa"/>
          <w:bottom w:w="0" w:type="dxa"/>
          <w:right w:w="108" w:type="dxa"/>
        </w:tblCellMar>
      </w:tblPr>
      <w:tblGrid>
        <w:gridCol w:w="6499"/>
        <w:gridCol w:w="2860"/>
      </w:tblGrid>
      <w:tr>
        <w:trPr>
          <w:cantSplit w:val="true"/>
        </w:trPr>
        <w:tc>
          <w:tcPr>
            <w:tcW w:w="6499" w:type="dxa"/>
            <w:tcBorders/>
          </w:tcPr>
          <w:p>
            <w:pPr>
              <w:pStyle w:val="Normal"/>
              <w:keepNext w:val="true"/>
              <w:widowControl w:val="false"/>
              <w:spacing w:before="160" w:after="20"/>
              <w:rPr/>
            </w:pPr>
            <w:r>
              <w:rPr>
                <w:rFonts w:eastAsia="Arial" w:cs="Arial"/>
                <w:b/>
                <w:bCs/>
                <w:color w:val="1F3864"/>
                <w:sz w:val="21"/>
                <w:szCs w:val="21"/>
              </w:rPr>
              <w:t>IT Support Associate</w:t>
            </w:r>
          </w:p>
          <w:p>
            <w:pPr>
              <w:pStyle w:val="Normal"/>
              <w:keepNext w:val="true"/>
              <w:widowControl w:val="false"/>
              <w:spacing w:before="0" w:after="30"/>
              <w:rPr/>
            </w:pPr>
            <w:r>
              <w:rPr>
                <w:rFonts w:eastAsia="Arial" w:cs="Arial"/>
                <w:b/>
                <w:bCs/>
                <w:color w:val="2E5FA3"/>
                <w:sz w:val="19"/>
                <w:szCs w:val="19"/>
              </w:rPr>
              <w:t>ICICI Bank</w:t>
            </w:r>
            <w:r>
              <w:rPr>
                <w:rFonts w:eastAsia="Arial" w:cs="Arial"/>
                <w:color w:val="666666"/>
                <w:sz w:val="18"/>
                <w:szCs w:val="18"/>
              </w:rPr>
              <w:t xml:space="preserve">  |  Hyderabad</w:t>
            </w:r>
          </w:p>
        </w:tc>
        <w:tc>
          <w:tcPr>
            <w:tcW w:w="2860" w:type="dxa"/>
            <w:tcBorders/>
            <w:vAlign w:val="center"/>
          </w:tcPr>
          <w:p>
            <w:pPr>
              <w:pStyle w:val="Normal"/>
              <w:keepNext w:val="true"/>
              <w:widowControl w:val="false"/>
              <w:spacing w:before="160" w:after="30"/>
              <w:jc w:val="right"/>
              <w:rPr/>
            </w:pPr>
            <w:r>
              <w:rPr>
                <w:rFonts w:eastAsia="Arial" w:cs="Arial"/>
                <w:i/>
                <w:iCs/>
                <w:color w:val="666666"/>
                <w:sz w:val="18"/>
                <w:szCs w:val="18"/>
              </w:rPr>
              <w:t>Dec 2018 – 2019</w:t>
            </w:r>
          </w:p>
        </w:tc>
      </w:tr>
    </w:tbl>
    <w:p>
      <w:pPr>
        <w:pStyle w:val="Normal"/>
        <w:keepNext w:val="true"/>
        <w:spacing w:before="10" w:after="20"/>
        <w:rPr/>
      </w:pPr>
      <w:r>
        <w:rPr>
          <w:rFonts w:eastAsia="Arial" w:cs="Arial"/>
          <w:i/>
          <w:iCs/>
          <w:color w:val="666666"/>
          <w:sz w:val="18"/>
          <w:szCs w:val="18"/>
        </w:rPr>
        <w:t>India's leading private sector bank with a strong digital and cloud-first infrastructure approach.</w:t>
      </w:r>
    </w:p>
    <w:p>
      <w:pPr>
        <w:pStyle w:val="ListParagraph"/>
        <w:numPr>
          <w:ilvl w:val="0"/>
          <w:numId w:val="1"/>
        </w:numPr>
        <w:spacing w:before="20" w:after="20"/>
        <w:rPr/>
      </w:pPr>
      <w:r>
        <w:rPr>
          <w:rFonts w:eastAsia="Arial" w:cs="Arial"/>
          <w:color w:val="212121"/>
          <w:sz w:val="19"/>
          <w:szCs w:val="19"/>
        </w:rPr>
        <w:t>Provided L1 technical support for internal users via ServiceNow; gained foundational exposure to Active Directory, DNS/DHCP, VM provisioning concepts, and enterprise infrastructure operations.</w:t>
      </w:r>
    </w:p>
    <w:p>
      <w:pPr>
        <w:pStyle w:val="Normal"/>
        <w:spacing w:before="0" w:after="80"/>
        <w:rPr/>
      </w:pPr>
      <w:r>
        <w:rPr/>
      </w:r>
    </w:p>
    <w:p>
      <w:pPr>
        <w:pStyle w:val="Normal"/>
        <w:pBdr>
          <w:bottom w:val="single" w:sz="6" w:space="1" w:color="2E75B6"/>
        </w:pBdr>
        <w:spacing w:before="220" w:after="40"/>
        <w:rPr/>
      </w:pPr>
      <w:r>
        <w:rPr>
          <w:rFonts w:eastAsia="Arial" w:cs="Arial"/>
          <w:b/>
          <w:bCs/>
          <w:color w:val="1F3864"/>
          <w:sz w:val="22"/>
          <w:szCs w:val="22"/>
        </w:rPr>
        <w:t>KEY PROJECTS</w:t>
      </w:r>
    </w:p>
    <w:p>
      <w:pPr>
        <w:pStyle w:val="Normal"/>
        <w:keepNext w:val="true"/>
        <w:spacing w:before="140" w:after="30"/>
        <w:rPr/>
      </w:pPr>
      <w:r>
        <w:rPr>
          <w:rFonts w:eastAsia="Arial" w:cs="Arial"/>
          <w:b/>
          <w:bCs/>
          <w:color w:val="1F3864"/>
          <w:sz w:val="20"/>
          <w:szCs w:val="20"/>
        </w:rPr>
        <w:t>Project 1: AKS Deployment &amp; Azure DevOps Pipelines Using Terraform  |  Client: IUHP</w:t>
      </w:r>
    </w:p>
    <w:p>
      <w:pPr>
        <w:pStyle w:val="ListParagraph"/>
        <w:numPr>
          <w:ilvl w:val="0"/>
          <w:numId w:val="1"/>
        </w:numPr>
        <w:spacing w:before="20" w:after="20"/>
        <w:rPr/>
      </w:pPr>
      <w:r>
        <w:rPr>
          <w:rFonts w:eastAsia="Arial" w:cs="Arial"/>
          <w:color w:val="212121"/>
          <w:sz w:val="19"/>
          <w:szCs w:val="19"/>
        </w:rPr>
        <w:t>Provisioned Azure Kubernetes Service (AKS) clusters, VNETs, Subnets, NSGs, Private Endpoints, Storage Accounts, and Azure Key Vault using Terraform  ensuring infrastructure consistency and repeatability across environments.</w:t>
      </w:r>
    </w:p>
    <w:p>
      <w:pPr>
        <w:pStyle w:val="ListParagraph"/>
        <w:numPr>
          <w:ilvl w:val="0"/>
          <w:numId w:val="1"/>
        </w:numPr>
        <w:spacing w:before="20" w:after="20"/>
        <w:rPr/>
      </w:pPr>
      <w:r>
        <w:rPr>
          <w:rFonts w:eastAsia="Arial" w:cs="Arial"/>
          <w:color w:val="212121"/>
          <w:sz w:val="19"/>
          <w:szCs w:val="19"/>
        </w:rPr>
        <w:t>Built Azure DevOps Pipelines to automate AKS deployments, enabling rolling updates and zero-downtime releases; managed environment-specific configurations using variable groups and pipeline templates.</w:t>
      </w:r>
    </w:p>
    <w:p>
      <w:pPr>
        <w:pStyle w:val="ListParagraph"/>
        <w:numPr>
          <w:ilvl w:val="0"/>
          <w:numId w:val="1"/>
        </w:numPr>
        <w:spacing w:before="20" w:after="20"/>
        <w:rPr/>
      </w:pPr>
      <w:r>
        <w:rPr>
          <w:rFonts w:eastAsia="Arial" w:cs="Arial"/>
          <w:color w:val="212121"/>
          <w:sz w:val="19"/>
          <w:szCs w:val="19"/>
        </w:rPr>
        <w:t>Integrated Azure Key Vault with AKS using the CSI Secret Store driver for secure secrets injection; enforced RBAC policies and Pod Security Standards across the cluster.</w:t>
      </w:r>
    </w:p>
    <w:p>
      <w:pPr>
        <w:pStyle w:val="ListParagraph"/>
        <w:numPr>
          <w:ilvl w:val="0"/>
          <w:numId w:val="1"/>
        </w:numPr>
        <w:spacing w:before="20" w:after="20"/>
        <w:rPr/>
      </w:pPr>
      <w:r>
        <w:rPr>
          <w:rFonts w:eastAsia="Arial" w:cs="Arial"/>
          <w:color w:val="212121"/>
          <w:sz w:val="19"/>
          <w:szCs w:val="19"/>
        </w:rPr>
        <w:t>Configured Azure Load Balancer and Ingress Controller to efficiently route external and internal traffic to microservices running in AKS.</w:t>
      </w:r>
    </w:p>
    <w:p>
      <w:pPr>
        <w:pStyle w:val="ListParagraph"/>
        <w:numPr>
          <w:ilvl w:val="0"/>
          <w:numId w:val="1"/>
        </w:numPr>
        <w:spacing w:before="20" w:after="20"/>
        <w:rPr/>
      </w:pPr>
      <w:r>
        <w:rPr>
          <w:rFonts w:eastAsia="Arial" w:cs="Arial"/>
          <w:color w:val="212121"/>
          <w:sz w:val="19"/>
          <w:szCs w:val="19"/>
        </w:rPr>
        <w:t>Set up Azure Monitor and Log Analytics Workspace for end-to-end observability achieved 40% reduction in deployment errors and improved application availability through AKS auto-scaling.</w:t>
      </w:r>
    </w:p>
    <w:p>
      <w:pPr>
        <w:pStyle w:val="Normal"/>
        <w:keepNext w:val="true"/>
        <w:spacing w:before="140" w:after="30"/>
        <w:rPr/>
      </w:pPr>
      <w:r>
        <w:rPr>
          <w:rFonts w:eastAsia="Arial" w:cs="Arial"/>
          <w:b/>
          <w:bCs/>
          <w:color w:val="1F3864"/>
          <w:sz w:val="20"/>
          <w:szCs w:val="20"/>
        </w:rPr>
        <w:t>Project 2: AWS Cloud &amp; DevOps Automation  |  Client: CareFirst</w:t>
      </w:r>
    </w:p>
    <w:p>
      <w:pPr>
        <w:pStyle w:val="ListParagraph"/>
        <w:numPr>
          <w:ilvl w:val="0"/>
          <w:numId w:val="1"/>
        </w:numPr>
        <w:spacing w:before="20" w:after="20"/>
        <w:rPr/>
      </w:pPr>
      <w:r>
        <w:rPr>
          <w:rFonts w:eastAsia="Arial" w:cs="Arial"/>
          <w:color w:val="212121"/>
          <w:sz w:val="19"/>
          <w:szCs w:val="19"/>
        </w:rPr>
        <w:t>Provisioned and managed AWS infrastructure components including EC2, VPC, Application Load Balancer (ALB), and AWS PrivateLink using Terraform for consistent and repeatable deployments.</w:t>
      </w:r>
    </w:p>
    <w:p>
      <w:pPr>
        <w:pStyle w:val="ListParagraph"/>
        <w:numPr>
          <w:ilvl w:val="0"/>
          <w:numId w:val="1"/>
        </w:numPr>
        <w:spacing w:before="20" w:after="20"/>
        <w:rPr/>
      </w:pPr>
      <w:r>
        <w:rPr>
          <w:rFonts w:eastAsia="Arial" w:cs="Arial"/>
          <w:color w:val="212121"/>
          <w:sz w:val="19"/>
          <w:szCs w:val="19"/>
        </w:rPr>
        <w:t>Configured IAM policies, AWS Network Firewall, NACLs, and Security Groups to enforce least-privilege access, network segmentation, and cloud security best practices.</w:t>
      </w:r>
    </w:p>
    <w:p>
      <w:pPr>
        <w:pStyle w:val="ListParagraph"/>
        <w:numPr>
          <w:ilvl w:val="0"/>
          <w:numId w:val="1"/>
        </w:numPr>
        <w:spacing w:before="20" w:after="20"/>
        <w:rPr/>
      </w:pPr>
      <w:r>
        <w:rPr>
          <w:rFonts w:eastAsia="Arial" w:cs="Arial"/>
          <w:color w:val="212121"/>
          <w:sz w:val="19"/>
          <w:szCs w:val="19"/>
        </w:rPr>
        <w:t>Implemented hub-and-spoke AWS network architecture using VPC Peering (regional/global/cross-account) and Transit Gateway for centralized connectivity and routing across environments.</w:t>
      </w:r>
    </w:p>
    <w:p>
      <w:pPr>
        <w:pStyle w:val="ListParagraph"/>
        <w:numPr>
          <w:ilvl w:val="0"/>
          <w:numId w:val="1"/>
        </w:numPr>
        <w:spacing w:before="20" w:after="20"/>
        <w:rPr/>
      </w:pPr>
      <w:r>
        <w:rPr>
          <w:rFonts w:eastAsia="Arial" w:cs="Arial"/>
          <w:color w:val="212121"/>
          <w:sz w:val="19"/>
          <w:szCs w:val="19"/>
        </w:rPr>
        <w:t>Integrated CloudWatch and SNS for system observability, metric-based alerting, and proactive issue resolution — improved deployment efficiency by 30% with automated CI/CD workflows.</w:t>
      </w:r>
    </w:p>
    <w:p>
      <w:pPr>
        <w:pStyle w:val="ListParagraph"/>
        <w:numPr>
          <w:ilvl w:val="0"/>
          <w:numId w:val="1"/>
        </w:numPr>
        <w:spacing w:before="20" w:after="20"/>
        <w:rPr/>
      </w:pPr>
      <w:r>
        <w:rPr>
          <w:rFonts w:eastAsia="Arial" w:cs="Arial"/>
          <w:color w:val="212121"/>
          <w:sz w:val="19"/>
          <w:szCs w:val="19"/>
        </w:rPr>
        <w:t>Collaborated with onshore teams on knowledge transfer and hand-off demos across DEV, SIT, UAT, and on-prem environments; maintained SOPs and installation/configuration documentation.</w:t>
      </w:r>
    </w:p>
    <w:p>
      <w:pPr>
        <w:pStyle w:val="Normal"/>
        <w:keepNext w:val="true"/>
        <w:spacing w:before="140" w:after="30"/>
        <w:rPr/>
      </w:pPr>
      <w:r>
        <w:rPr>
          <w:rFonts w:eastAsia="Arial" w:cs="Arial"/>
          <w:b/>
          <w:bCs/>
          <w:color w:val="1F3864"/>
          <w:sz w:val="20"/>
          <w:szCs w:val="20"/>
        </w:rPr>
        <w:t>Project 3: Cloud Migration On-Premises to Azure  |  Client: Baycare</w:t>
      </w:r>
    </w:p>
    <w:p>
      <w:pPr>
        <w:pStyle w:val="ListParagraph"/>
        <w:numPr>
          <w:ilvl w:val="0"/>
          <w:numId w:val="1"/>
        </w:numPr>
        <w:spacing w:before="20" w:after="20"/>
        <w:rPr/>
      </w:pPr>
      <w:r>
        <w:rPr>
          <w:rFonts w:eastAsia="Arial" w:cs="Arial"/>
          <w:color w:val="212121"/>
          <w:sz w:val="19"/>
          <w:szCs w:val="19"/>
        </w:rPr>
        <w:t>Led migration of on-premises workloads to Azure — assessed dependencies, created migration plans, and coordinated with cross-functional teams to ensure minimal business disruption.</w:t>
      </w:r>
    </w:p>
    <w:p>
      <w:pPr>
        <w:pStyle w:val="ListParagraph"/>
        <w:numPr>
          <w:ilvl w:val="0"/>
          <w:numId w:val="1"/>
        </w:numPr>
        <w:spacing w:before="20" w:after="20"/>
        <w:rPr/>
      </w:pPr>
      <w:r>
        <w:rPr>
          <w:rFonts w:eastAsia="Arial" w:cs="Arial"/>
          <w:color w:val="212121"/>
          <w:sz w:val="19"/>
          <w:szCs w:val="19"/>
        </w:rPr>
        <w:t>Provisioned Azure Virtual Machines, installed SQL Server, and restored on-premises databases to Azure ensuring seamless continuity; used Azure NetApp Files for secure backup and data restoration.</w:t>
      </w:r>
    </w:p>
    <w:p>
      <w:pPr>
        <w:pStyle w:val="ListParagraph"/>
        <w:numPr>
          <w:ilvl w:val="0"/>
          <w:numId w:val="1"/>
        </w:numPr>
        <w:spacing w:before="20" w:after="20"/>
        <w:rPr/>
      </w:pPr>
      <w:r>
        <w:rPr>
          <w:rFonts w:eastAsia="Arial" w:cs="Arial"/>
          <w:color w:val="212121"/>
          <w:sz w:val="19"/>
          <w:szCs w:val="19"/>
        </w:rPr>
        <w:t>Established Private Endpoints between Azure Storage Accounts and VMs to enforce secure data transfer and regulatory compliance; automated provisioning using Terraform (VMs, Networking, Storage).</w:t>
      </w:r>
    </w:p>
    <w:p>
      <w:pPr>
        <w:pStyle w:val="ListParagraph"/>
        <w:numPr>
          <w:ilvl w:val="0"/>
          <w:numId w:val="1"/>
        </w:numPr>
        <w:spacing w:before="20" w:after="20"/>
        <w:rPr/>
      </w:pPr>
      <w:r>
        <w:rPr>
          <w:rFonts w:eastAsia="Arial" w:cs="Arial"/>
          <w:color w:val="212121"/>
          <w:sz w:val="19"/>
          <w:szCs w:val="19"/>
        </w:rPr>
        <w:t>Managed Infrastructure and Application Deployment Pipelines using Azure DevOps — reduced manual intervention by 75% through pipeline-driven, repeatable deployments.</w:t>
      </w:r>
    </w:p>
    <w:p>
      <w:pPr>
        <w:pStyle w:val="ListParagraph"/>
        <w:numPr>
          <w:ilvl w:val="0"/>
          <w:numId w:val="1"/>
        </w:numPr>
        <w:spacing w:before="20" w:after="20"/>
        <w:rPr/>
      </w:pPr>
      <w:r>
        <w:rPr>
          <w:rFonts w:eastAsia="Arial" w:cs="Arial"/>
          <w:color w:val="212121"/>
          <w:sz w:val="19"/>
          <w:szCs w:val="19"/>
        </w:rPr>
        <w:t>Engaged Microsoft Support and IAM teams to resolve critical blockers; provided post-production support, troubleshooting infrastructure and performance issues post-migration.</w:t>
      </w:r>
    </w:p>
    <w:p>
      <w:pPr>
        <w:pStyle w:val="Normal"/>
        <w:spacing w:before="0" w:after="80"/>
        <w:rPr/>
      </w:pPr>
      <w:r>
        <w:rPr/>
      </w:r>
    </w:p>
    <w:p>
      <w:pPr>
        <w:pStyle w:val="Normal"/>
        <w:pBdr>
          <w:bottom w:val="single" w:sz="6" w:space="1" w:color="2E75B6"/>
        </w:pBdr>
        <w:spacing w:before="220" w:after="40"/>
        <w:rPr/>
      </w:pPr>
      <w:r>
        <w:rPr>
          <w:rFonts w:eastAsia="Arial" w:cs="Arial"/>
          <w:b/>
          <w:bCs/>
          <w:color w:val="1F3864"/>
          <w:sz w:val="22"/>
          <w:szCs w:val="22"/>
        </w:rPr>
        <w:t>EDUCATION</w:t>
      </w:r>
    </w:p>
    <w:tbl>
      <w:tblPr>
        <w:tblW w:w="9360" w:type="dxa"/>
        <w:jc w:val="left"/>
        <w:tblInd w:w="0" w:type="dxa"/>
        <w:tblLayout w:type="fixed"/>
        <w:tblCellMar>
          <w:top w:w="60" w:type="dxa"/>
          <w:left w:w="0" w:type="dxa"/>
          <w:bottom w:w="60" w:type="dxa"/>
          <w:right w:w="80" w:type="dxa"/>
        </w:tblCellMar>
      </w:tblPr>
      <w:tblGrid>
        <w:gridCol w:w="6800"/>
        <w:gridCol w:w="2559"/>
      </w:tblGrid>
      <w:tr>
        <w:trPr/>
        <w:tc>
          <w:tcPr>
            <w:tcW w:w="6800" w:type="dxa"/>
            <w:tcBorders/>
          </w:tcPr>
          <w:p>
            <w:pPr>
              <w:pStyle w:val="Normal"/>
              <w:widowControl w:val="false"/>
              <w:spacing w:before="0" w:after="10"/>
              <w:rPr/>
            </w:pPr>
            <w:r>
              <w:rPr>
                <w:rFonts w:eastAsia="Arial" w:cs="Arial"/>
                <w:b/>
                <w:bCs/>
                <w:color w:val="1F3864"/>
                <w:sz w:val="19"/>
                <w:szCs w:val="19"/>
              </w:rPr>
              <w:t>Acharya Nagarjuna University</w:t>
            </w:r>
          </w:p>
          <w:p>
            <w:pPr>
              <w:pStyle w:val="Normal"/>
              <w:widowControl w:val="false"/>
              <w:spacing w:before="0" w:after="40"/>
              <w:rPr/>
            </w:pPr>
            <w:r>
              <w:rPr>
                <w:rFonts w:eastAsia="Arial" w:cs="Arial"/>
                <w:color w:val="212121"/>
                <w:sz w:val="18"/>
                <w:szCs w:val="18"/>
              </w:rPr>
              <w:t>M.Sc in Computer Science (Pursuing)</w:t>
            </w:r>
          </w:p>
        </w:tc>
        <w:tc>
          <w:tcPr>
            <w:tcW w:w="2559" w:type="dxa"/>
            <w:tcBorders/>
            <w:tcMar>
              <w:left w:w="80" w:type="dxa"/>
              <w:right w:w="0" w:type="dxa"/>
            </w:tcMar>
            <w:vAlign w:val="center"/>
          </w:tcPr>
          <w:p>
            <w:pPr>
              <w:pStyle w:val="Normal"/>
              <w:widowControl w:val="false"/>
              <w:jc w:val="right"/>
              <w:rPr/>
            </w:pPr>
            <w:r>
              <w:rPr>
                <w:rFonts w:eastAsia="Arial" w:cs="Arial"/>
                <w:i/>
                <w:iCs/>
                <w:color w:val="666666"/>
                <w:sz w:val="18"/>
                <w:szCs w:val="18"/>
              </w:rPr>
              <w:t>2026 – 2028</w:t>
            </w:r>
          </w:p>
        </w:tc>
      </w:tr>
      <w:tr>
        <w:trPr/>
        <w:tc>
          <w:tcPr>
            <w:tcW w:w="6800" w:type="dxa"/>
            <w:tcBorders/>
          </w:tcPr>
          <w:p>
            <w:pPr>
              <w:pStyle w:val="Normal"/>
              <w:widowControl w:val="false"/>
              <w:spacing w:before="0" w:after="10"/>
              <w:rPr/>
            </w:pPr>
            <w:r>
              <w:rPr>
                <w:rFonts w:eastAsia="Arial" w:cs="Arial"/>
                <w:b/>
                <w:bCs/>
                <w:color w:val="1F3864"/>
                <w:sz w:val="19"/>
                <w:szCs w:val="19"/>
              </w:rPr>
              <w:t>Sri Krishnadevaraya University</w:t>
            </w:r>
          </w:p>
          <w:p>
            <w:pPr>
              <w:pStyle w:val="Normal"/>
              <w:widowControl w:val="false"/>
              <w:spacing w:before="0" w:after="40"/>
              <w:rPr/>
            </w:pPr>
            <w:r>
              <w:rPr>
                <w:rFonts w:eastAsia="Arial" w:cs="Arial"/>
                <w:color w:val="212121"/>
                <w:sz w:val="18"/>
                <w:szCs w:val="18"/>
              </w:rPr>
              <w:t>Master of Business Administration (MBA)</w:t>
            </w:r>
          </w:p>
        </w:tc>
        <w:tc>
          <w:tcPr>
            <w:tcW w:w="2559" w:type="dxa"/>
            <w:tcBorders/>
            <w:tcMar>
              <w:left w:w="80" w:type="dxa"/>
              <w:right w:w="0" w:type="dxa"/>
            </w:tcMar>
            <w:vAlign w:val="center"/>
          </w:tcPr>
          <w:p>
            <w:pPr>
              <w:pStyle w:val="Normal"/>
              <w:widowControl w:val="false"/>
              <w:jc w:val="right"/>
              <w:rPr/>
            </w:pPr>
            <w:r>
              <w:rPr>
                <w:rFonts w:eastAsia="Arial" w:cs="Arial"/>
                <w:i/>
                <w:iCs/>
                <w:color w:val="666666"/>
                <w:sz w:val="18"/>
                <w:szCs w:val="18"/>
              </w:rPr>
              <w:t>2019 – 2021</w:t>
            </w:r>
          </w:p>
        </w:tc>
      </w:tr>
      <w:tr>
        <w:trPr/>
        <w:tc>
          <w:tcPr>
            <w:tcW w:w="6800" w:type="dxa"/>
            <w:tcBorders/>
          </w:tcPr>
          <w:p>
            <w:pPr>
              <w:pStyle w:val="Normal"/>
              <w:widowControl w:val="false"/>
              <w:spacing w:before="0" w:after="10"/>
              <w:rPr/>
            </w:pPr>
            <w:r>
              <w:rPr>
                <w:rFonts w:eastAsia="Arial" w:cs="Arial"/>
                <w:b/>
                <w:bCs/>
                <w:color w:val="1F3864"/>
                <w:sz w:val="19"/>
                <w:szCs w:val="19"/>
              </w:rPr>
              <w:t>Rayalaseema University</w:t>
            </w:r>
          </w:p>
          <w:p>
            <w:pPr>
              <w:pStyle w:val="Normal"/>
              <w:widowControl w:val="false"/>
              <w:spacing w:before="0" w:after="40"/>
              <w:rPr/>
            </w:pPr>
            <w:r>
              <w:rPr>
                <w:rFonts w:eastAsia="Arial" w:cs="Arial"/>
                <w:color w:val="212121"/>
                <w:sz w:val="18"/>
                <w:szCs w:val="18"/>
              </w:rPr>
              <w:t>B.Com (Computer Applications)</w:t>
            </w:r>
          </w:p>
        </w:tc>
        <w:tc>
          <w:tcPr>
            <w:tcW w:w="2559" w:type="dxa"/>
            <w:tcBorders/>
            <w:tcMar>
              <w:left w:w="80" w:type="dxa"/>
              <w:right w:w="0" w:type="dxa"/>
            </w:tcMar>
            <w:vAlign w:val="center"/>
          </w:tcPr>
          <w:p>
            <w:pPr>
              <w:pStyle w:val="Normal"/>
              <w:widowControl w:val="false"/>
              <w:jc w:val="right"/>
              <w:rPr/>
            </w:pPr>
            <w:r>
              <w:rPr>
                <w:rFonts w:eastAsia="Arial" w:cs="Arial"/>
                <w:i/>
                <w:iCs/>
                <w:color w:val="666666"/>
                <w:sz w:val="18"/>
                <w:szCs w:val="18"/>
              </w:rPr>
              <w:t>2015 – 2018</w:t>
            </w:r>
          </w:p>
        </w:tc>
      </w:tr>
    </w:tbl>
    <w:p>
      <w:pPr>
        <w:pStyle w:val="Normal"/>
        <w:spacing w:before="0" w:after="80"/>
        <w:rPr/>
      </w:pPr>
      <w:r>
        <w:rPr/>
      </w:r>
    </w:p>
    <w:p>
      <w:pPr>
        <w:pStyle w:val="Normal"/>
        <w:pBdr>
          <w:bottom w:val="single" w:sz="6" w:space="1" w:color="2E75B6"/>
        </w:pBdr>
        <w:spacing w:before="220" w:after="40"/>
        <w:rPr/>
      </w:pPr>
      <w:r>
        <w:rPr>
          <w:rFonts w:eastAsia="Arial" w:cs="Arial"/>
          <w:b/>
          <w:bCs/>
          <w:color w:val="1F3864"/>
          <w:sz w:val="22"/>
          <w:szCs w:val="22"/>
        </w:rPr>
        <w:t>KEY ACHIEVEMENTS</w:t>
      </w:r>
    </w:p>
    <w:p>
      <w:pPr>
        <w:pStyle w:val="ListParagraph"/>
        <w:numPr>
          <w:ilvl w:val="0"/>
          <w:numId w:val="1"/>
        </w:numPr>
        <w:spacing w:before="20" w:after="20"/>
        <w:rPr/>
      </w:pPr>
      <w:r>
        <w:rPr>
          <w:rFonts w:eastAsia="Arial" w:cs="Arial"/>
          <w:color w:val="212121"/>
          <w:sz w:val="19"/>
          <w:szCs w:val="19"/>
        </w:rPr>
        <w:t>Open Source: Maintaining 18+ GitHub repositories covering Azure, Kubernetes, Terraform, CI/CD, and IaC — actively sharing best practices and real-world DevOps implementations with the community.</w:t>
      </w:r>
    </w:p>
    <w:p>
      <w:pPr>
        <w:pStyle w:val="ListParagraph"/>
        <w:numPr>
          <w:ilvl w:val="0"/>
          <w:numId w:val="1"/>
        </w:numPr>
        <w:spacing w:before="20" w:after="20"/>
        <w:rPr/>
      </w:pPr>
      <w:r>
        <w:rPr>
          <w:rFonts w:eastAsia="Arial" w:cs="Arial"/>
          <w:color w:val="212121"/>
          <w:sz w:val="19"/>
          <w:szCs w:val="19"/>
        </w:rPr>
        <w:t>Best Associate Award at Cognizant — recognized for driving automation initiatives that significantly reduced manual efforts across the entire account.</w:t>
      </w:r>
    </w:p>
    <w:p>
      <w:pPr>
        <w:pStyle w:val="ListParagraph"/>
        <w:numPr>
          <w:ilvl w:val="0"/>
          <w:numId w:val="1"/>
        </w:numPr>
        <w:spacing w:before="20" w:after="20"/>
        <w:rPr/>
      </w:pPr>
      <w:r>
        <w:rPr>
          <w:rFonts w:eastAsia="Arial" w:cs="Arial"/>
          <w:color w:val="212121"/>
          <w:sz w:val="19"/>
          <w:szCs w:val="19"/>
        </w:rPr>
        <w:t>Reduced deployment errors by 40% and manual provisioning effort by 60% through Terraform IaC automation and reusable Azure DevOps / GitHub Actions pipelines.</w:t>
      </w:r>
    </w:p>
    <w:p>
      <w:pPr>
        <w:pStyle w:val="ListParagraph"/>
        <w:numPr>
          <w:ilvl w:val="0"/>
          <w:numId w:val="1"/>
        </w:numPr>
        <w:spacing w:before="20" w:after="20"/>
        <w:rPr/>
      </w:pPr>
      <w:r>
        <w:rPr>
          <w:rFonts w:eastAsia="Arial" w:cs="Arial"/>
          <w:color w:val="212121"/>
          <w:sz w:val="19"/>
          <w:szCs w:val="19"/>
        </w:rPr>
        <w:t>Automated PR compliance audit reporting with Python, reducing manual tracking effort by 40%.</w:t>
      </w:r>
    </w:p>
    <w:p>
      <w:pPr>
        <w:pStyle w:val="ListParagraph"/>
        <w:numPr>
          <w:ilvl w:val="0"/>
          <w:numId w:val="1"/>
        </w:numPr>
        <w:spacing w:before="20" w:after="20"/>
        <w:rPr/>
      </w:pPr>
      <w:r>
        <w:rPr>
          <w:rFonts w:eastAsia="Arial" w:cs="Arial"/>
          <w:color w:val="212121"/>
          <w:sz w:val="19"/>
          <w:szCs w:val="19"/>
        </w:rPr>
        <w:t>M.Sc Computer Science (Pursuing) — actively upskilling in computer science fundamentals to strengthen cloud and DevOps engineering expertise.</w:t>
      </w:r>
    </w:p>
    <w:sectPr>
      <w:type w:val="nextPage"/>
      <w:pgSz w:w="12240" w:h="15840"/>
      <w:pgMar w:left="1008" w:right="1008" w:header="0" w:top="864" w:footer="0" w:bottom="864"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121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12121"/>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212121"/>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212121"/>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kala-techies" TargetMode="External"/><Relationship Id="rId3" Type="http://schemas.openxmlformats.org/officeDocument/2006/relationships/hyperlink" Target="https://www.linkedin.com/in/shaik-kalandar"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LibreOffice/7.0.4.2$Windows_X86_64 LibreOffice_project/dcf040e67528d9187c66b2379df5ea4407429775</Application>
  <AppVersion>15.0000</AppVersion>
  <Pages>3</Pages>
  <Words>1399</Words>
  <Characters>9371</Characters>
  <CharactersWithSpaces>10677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2026-05-23T12:32:26Z</dcterms:created>
  <dc:creator>Un-named</dc:creator>
  <dc:description/>
  <dc:language>en-US</dc:language>
  <cp:lastModifiedBy/>
  <dcterms:modified xsi:type="dcterms:W3CDTF">2026-05-23T18:05:34Z</dcterms:modified>
  <cp:revision>2</cp:revision>
  <dc:subject/>
  <dc:title/>
</cp:coreProperties>
</file>