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Skein</w:t>
      </w:r>
    </w:p>
    <w:p>
      <w:pPr>
        <w:jc w:val="left"/>
      </w:pPr>
      <w:r>
        <w:rPr>
          <w:b/>
          <w:sz w:val="28"/>
        </w:rPr>
        <w:t>A version control system for agentic development</w:t>
      </w:r>
    </w:p>
    <w:p>
      <w:r>
        <w:rPr>
          <w:i/>
        </w:rPr>
        <w:t>Draft 0.3  |  7 October 2026  |  Status: exploratory specification</w:t>
      </w:r>
    </w:p>
    <w:p>
      <w:r>
        <w:t>Skein is a version control system for AI-assisted development under the BMad method. It is not Git and is not a layer on Git. Its unit of history is a decision: a claim with explicit evidence, policy, and accountable human approval. Code is the materialized consequence of accepted decisions.</w:t>
      </w:r>
    </w:p>
    <w:p>
      <w:pPr>
        <w:pStyle w:val="Heading1"/>
      </w:pPr>
      <w:r>
        <w:t>Changes from Draft 0.2</w:t>
      </w:r>
    </w:p>
    <w:p>
      <w:r>
        <w:t>Draft 0.3 keeps Draft 0.2's language-agnostic core and resolves its implementation-critical ambiguities. A land gate now signs an immutable land candidate, including the exact target weave state, policy, and integration result. Weaves are deterministic manifests rather than unordered sets. Patch composition, policy evaluation, review binding, witness provenance, projection reach, and credential assumptions are specified as normative interfaces. The intent is to make two conforming implementations agree on objects, materialization, and admission.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1F4E78"/>
            <w:vAlign w:val="center"/>
          </w:tcPr>
          <w:p>
            <w:r>
              <w:rPr>
                <w:b/>
                <w:color w:val="FFFFFF"/>
                <w:sz w:val="17"/>
              </w:rPr>
              <w:t>Change</w:t>
            </w:r>
          </w:p>
        </w:tc>
        <w:tc>
          <w:tcPr>
            <w:tcW w:type="dxa" w:w="7200"/>
            <w:shd w:fill="1F4E78"/>
            <w:vAlign w:val="center"/>
          </w:tcPr>
          <w:p>
            <w:r>
              <w:rPr>
                <w:b/>
                <w:color w:val="FFFFFF"/>
                <w:sz w:val="17"/>
              </w:rPr>
              <w:t>Resolution</w:t>
            </w:r>
          </w:p>
        </w:tc>
      </w:tr>
      <w:tr>
        <w:tc>
          <w:tcPr>
            <w:tcW w:type="dxa" w:w="2232"/>
            <w:vAlign w:val="center"/>
          </w:tcPr>
          <w:p>
            <w:pPr>
              <w:spacing w:after="40" w:before="40"/>
            </w:pPr>
            <w:r>
              <w:rPr>
                <w:sz w:val="17"/>
              </w:rPr>
              <w:t>Gate semantics</w:t>
            </w:r>
          </w:p>
        </w:tc>
        <w:tc>
          <w:tcPr>
            <w:tcW w:type="dxa" w:w="7200"/>
            <w:vAlign w:val="center"/>
          </w:tcPr>
          <w:p>
            <w:pPr>
              <w:spacing w:after="40" w:before="40"/>
            </w:pPr>
            <w:r>
              <w:rPr>
                <w:sz w:val="17"/>
              </w:rPr>
              <w:t>A gate signs a canonical LandCandidate. Target-state or integration changes expire the candidate by default.</w:t>
            </w:r>
          </w:p>
        </w:tc>
      </w:tr>
      <w:tr>
        <w:tc>
          <w:tcPr>
            <w:tcW w:type="dxa" w:w="2232"/>
            <w:vAlign w:val="center"/>
            <w:shd w:fill="EDF4F8"/>
          </w:tcPr>
          <w:p>
            <w:pPr>
              <w:spacing w:after="40" w:before="40"/>
            </w:pPr>
            <w:r>
              <w:rPr>
                <w:sz w:val="17"/>
              </w:rPr>
              <w:t>Weave semantics</w:t>
            </w:r>
          </w:p>
        </w:tc>
        <w:tc>
          <w:tcPr>
            <w:tcW w:type="dxa" w:w="7200"/>
            <w:vAlign w:val="center"/>
            <w:shd w:fill="EDF4F8"/>
          </w:tcPr>
          <w:p>
            <w:pPr>
              <w:spacing w:after="40" w:before="40"/>
            </w:pPr>
            <w:r>
              <w:rPr>
                <w:sz w:val="17"/>
              </w:rPr>
              <w:t>A weave is an immutable ordered manifest of lands with a deterministic state root.</w:t>
            </w:r>
          </w:p>
        </w:tc>
      </w:tr>
      <w:tr>
        <w:tc>
          <w:tcPr>
            <w:tcW w:type="dxa" w:w="2232"/>
            <w:vAlign w:val="center"/>
          </w:tcPr>
          <w:p>
            <w:pPr>
              <w:spacing w:after="40" w:before="40"/>
            </w:pPr>
            <w:r>
              <w:rPr>
                <w:sz w:val="17"/>
              </w:rPr>
              <w:t>Patch composition</w:t>
            </w:r>
          </w:p>
        </w:tc>
        <w:tc>
          <w:tcPr>
            <w:tcW w:type="dxa" w:w="7200"/>
            <w:vAlign w:val="center"/>
          </w:tcPr>
          <w:p>
            <w:pPr>
              <w:spacing w:after="40" w:before="40"/>
            </w:pPr>
            <w:r>
              <w:rPr>
                <w:sz w:val="17"/>
              </w:rPr>
              <w:t>Paths, text hunks, boundaries, rename behavior, and conflicts have defined v1 rules.</w:t>
            </w:r>
          </w:p>
        </w:tc>
      </w:tr>
      <w:tr>
        <w:tc>
          <w:tcPr>
            <w:tcW w:type="dxa" w:w="2232"/>
            <w:vAlign w:val="center"/>
            <w:shd w:fill="EDF4F8"/>
          </w:tcPr>
          <w:p>
            <w:pPr>
              <w:spacing w:after="40" w:before="40"/>
            </w:pPr>
            <w:r>
              <w:rPr>
                <w:sz w:val="17"/>
              </w:rPr>
              <w:t>Policy</w:t>
            </w:r>
          </w:p>
        </w:tc>
        <w:tc>
          <w:tcPr>
            <w:tcW w:type="dxa" w:w="7200"/>
            <w:vAlign w:val="center"/>
            <w:shd w:fill="EDF4F8"/>
          </w:tcPr>
          <w:p>
            <w:pPr>
              <w:spacing w:after="40" w:before="40"/>
            </w:pPr>
            <w:r>
              <w:rPr>
                <w:sz w:val="17"/>
              </w:rPr>
              <w:t>Policy packs are signed, versioned machine-readable objects pinned into every candidate.</w:t>
            </w:r>
          </w:p>
        </w:tc>
      </w:tr>
      <w:tr>
        <w:tc>
          <w:tcPr>
            <w:tcW w:type="dxa" w:w="2232"/>
            <w:vAlign w:val="center"/>
          </w:tcPr>
          <w:p>
            <w:pPr>
              <w:spacing w:after="40" w:before="40"/>
            </w:pPr>
            <w:r>
              <w:rPr>
                <w:sz w:val="17"/>
              </w:rPr>
              <w:t>Evidence</w:t>
            </w:r>
          </w:p>
        </w:tc>
        <w:tc>
          <w:tcPr>
            <w:tcW w:type="dxa" w:w="7200"/>
            <w:vAlign w:val="center"/>
          </w:tcPr>
          <w:p>
            <w:pPr>
              <w:spacing w:after="40" w:before="40"/>
            </w:pPr>
            <w:r>
              <w:rPr>
                <w:sz w:val="17"/>
              </w:rPr>
              <w:t>Integration witnesses identify runner, toolchain, command plan, state roots, logs, and execution restrictions.</w:t>
            </w:r>
          </w:p>
        </w:tc>
      </w:tr>
      <w:tr>
        <w:tc>
          <w:tcPr>
            <w:tcW w:type="dxa" w:w="2232"/>
            <w:vAlign w:val="center"/>
            <w:shd w:fill="EDF4F8"/>
          </w:tcPr>
          <w:p>
            <w:pPr>
              <w:spacing w:after="40" w:before="40"/>
            </w:pPr>
            <w:r>
              <w:rPr>
                <w:sz w:val="17"/>
              </w:rPr>
              <w:t>Projection</w:t>
            </w:r>
          </w:p>
        </w:tc>
        <w:tc>
          <w:tcPr>
            <w:tcW w:type="dxa" w:w="7200"/>
            <w:vAlign w:val="center"/>
            <w:shd w:fill="EDF4F8"/>
          </w:tcPr>
          <w:p>
            <w:pPr>
              <w:spacing w:after="40" w:before="40"/>
            </w:pPr>
            <w:r>
              <w:rPr>
                <w:sz w:val="17"/>
              </w:rPr>
              <w:t>Reach labels state enforceable capabilities as well as delivered context.</w:t>
            </w:r>
          </w:p>
        </w:tc>
      </w:tr>
    </w:tbl>
    <w:p>
      <w:pPr>
        <w:spacing w:after="40"/>
      </w:pPr>
    </w:p>
    <w:p>
      <w:pPr>
        <w:pStyle w:val="Heading1"/>
      </w:pPr>
      <w:r>
        <w:t>1 Purpose</w:t>
      </w:r>
    </w:p>
    <w:p>
      <w:r>
        <w:t>Coding agents can produce patches quickly but do not by themselves preserve the judgment that made a patch safe to admit. BMad places that judgment in briefs, requirements, architecture constraints, stories, acceptance claims, tests, reviews, and human gates. Skein makes those artifacts first-class, content-addressed history rather than collateral files beside source code.</w:t>
      </w:r>
    </w:p>
    <w:p>
      <w:r>
        <w:t>Skein stores planning artifacts, source content, and evidence in one append-only graph. A human approves a concrete candidate rather than a generic diff. A land is admitted only when its policy is satisfied and its composed result has passed integration. The resulting history can answer why a path exists, which constraints governed it, what the agent was given, and who approved its admission.</w:t>
      </w:r>
    </w:p>
    <w:p>
      <w:pPr>
        <w:pStyle w:val="Heading2"/>
      </w:pPr>
      <w:r>
        <w:t>1.1 Goals</w:t>
      </w:r>
    </w:p>
    <w:p>
      <w:pPr>
        <w:pStyle w:val="ListBullet"/>
      </w:pPr>
      <w:r>
        <w:t>Store decisions, code, and evidence in a single content-addressed graph.</w:t>
      </w:r>
    </w:p>
    <w:p>
      <w:pPr>
        <w:pStyle w:val="ListBullet"/>
      </w:pPr>
      <w:r>
        <w:t>Use a story and its acceptance claims as the unit of work rather than a commit message.</w:t>
      </w:r>
    </w:p>
    <w:p>
      <w:pPr>
        <w:pStyle w:val="ListBullet"/>
      </w:pPr>
      <w:r>
        <w:t>Give agents bounded, reproducible projections and record the enforceable reach granted to them.</w:t>
      </w:r>
    </w:p>
    <w:p>
      <w:pPr>
        <w:pStyle w:val="ListBullet"/>
      </w:pPr>
      <w:r>
        <w:t>Compose parallel work mechanically and require integration against the actual composed state.</w:t>
      </w:r>
    </w:p>
    <w:p>
      <w:pPr>
        <w:pStyle w:val="ListBullet"/>
      </w:pPr>
      <w:r>
        <w:t>Keep human accountability separate from agent roles and model identity.</w:t>
      </w:r>
    </w:p>
    <w:p>
      <w:pPr>
        <w:pStyle w:val="ListBullet"/>
      </w:pPr>
      <w:r>
        <w:t>Make gates cryptographically bind a human approval to an exact candidate.</w:t>
      </w:r>
    </w:p>
    <w:p>
      <w:pPr>
        <w:pStyle w:val="ListBullet"/>
      </w:pPr>
      <w:r>
        <w:t>Retain abandoned, rejected, and retracted approaches as queryable evidence.</w:t>
      </w:r>
    </w:p>
    <w:p>
      <w:pPr>
        <w:pStyle w:val="Heading2"/>
      </w:pPr>
      <w:r>
        <w:t>1.2 Non-goals</w:t>
      </w:r>
    </w:p>
    <w:p>
      <w:pPr>
        <w:pStyle w:val="ListBullet"/>
      </w:pPr>
      <w:r>
        <w:t>Wire compatibility with Git packfiles, refs, or the Git index.</w:t>
      </w:r>
    </w:p>
    <w:p>
      <w:pPr>
        <w:pStyle w:val="ListBullet"/>
      </w:pPr>
      <w:r>
        <w:t>Replacing compilers, test runners, editors, or language servers.</w:t>
      </w:r>
    </w:p>
    <w:p>
      <w:pPr>
        <w:pStyle w:val="ListBullet"/>
      </w:pPr>
      <w:r>
        <w:t>Source-language parsing in the core; language adapters remain optional extensions.</w:t>
      </w:r>
    </w:p>
    <w:p>
      <w:pPr>
        <w:pStyle w:val="ListBullet"/>
      </w:pPr>
      <w:r>
        <w:t>Proving what an LLM internally attended to or reasoned about.</w:t>
      </w:r>
    </w:p>
    <w:p>
      <w:pPr>
        <w:pStyle w:val="ListBullet"/>
      </w:pPr>
      <w:r>
        <w:t>Encoding an entire development methodology; policy decides the required ceremony.</w:t>
      </w:r>
    </w:p>
    <w:p>
      <w:pPr>
        <w:pStyle w:val="Heading1"/>
      </w:pPr>
      <w:r>
        <w:t>2 Terms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4939"/>
            <w:shd w:fill="1F4E78"/>
            <w:vAlign w:val="center"/>
          </w:tcPr>
          <w:p>
            <w:r>
              <w:rPr>
                <w:b/>
                <w:color w:val="FFFFFF"/>
                <w:sz w:val="17"/>
              </w:rPr>
              <w:t>Term</w:t>
            </w:r>
          </w:p>
        </w:tc>
        <w:tc>
          <w:tcPr>
            <w:tcW w:type="dxa" w:w="4939"/>
            <w:shd w:fill="1F4E78"/>
            <w:vAlign w:val="center"/>
          </w:tcPr>
          <w:p>
            <w:r>
              <w:rPr>
                <w:b/>
                <w:color w:val="FFFFFF"/>
                <w:sz w:val="17"/>
              </w:rPr>
              <w:t>Meaning</w:t>
            </w:r>
          </w:p>
        </w:tc>
      </w:tr>
      <w:tr>
        <w:tc>
          <w:tcPr>
            <w:tcW w:type="dxa" w:w="4939"/>
            <w:vAlign w:val="center"/>
          </w:tcPr>
          <w:p>
            <w:pPr>
              <w:spacing w:after="40" w:before="40"/>
            </w:pPr>
            <w:r>
              <w:rPr>
                <w:sz w:val="17"/>
              </w:rPr>
              <w:t>Claim</w:t>
            </w:r>
          </w:p>
        </w:tc>
        <w:tc>
          <w:tcPr>
            <w:tcW w:type="dxa" w:w="4939"/>
            <w:vAlign w:val="center"/>
          </w:tcPr>
          <w:p>
            <w:pPr>
              <w:spacing w:after="40" w:before="40"/>
            </w:pPr>
            <w:r>
              <w:rPr>
                <w:sz w:val="17"/>
              </w:rPr>
              <w:t>An immutable, content-addressed assertion. The atom of history.</w:t>
            </w:r>
          </w:p>
        </w:tc>
      </w:tr>
      <w:tr>
        <w:tc>
          <w:tcPr>
            <w:tcW w:type="dxa" w:w="4939"/>
            <w:vAlign w:val="center"/>
            <w:shd w:fill="EDF4F8"/>
          </w:tcPr>
          <w:p>
            <w:pPr>
              <w:spacing w:after="40" w:before="40"/>
            </w:pPr>
            <w:r>
              <w:rPr>
                <w:sz w:val="17"/>
              </w:rPr>
              <w:t>Thread</w:t>
            </w:r>
          </w:p>
        </w:tc>
        <w:tc>
          <w:tcPr>
            <w:tcW w:type="dxa" w:w="4939"/>
            <w:vAlign w:val="center"/>
            <w:shd w:fill="EDF4F8"/>
          </w:tcPr>
          <w:p>
            <w:pPr>
              <w:spacing w:after="40" w:before="40"/>
            </w:pPr>
            <w:r>
              <w:rPr>
                <w:sz w:val="17"/>
              </w:rPr>
              <w:t>A named line of work. Its visible status is derived from claims and events, not a branch.</w:t>
            </w:r>
          </w:p>
        </w:tc>
      </w:tr>
      <w:tr>
        <w:tc>
          <w:tcPr>
            <w:tcW w:type="dxa" w:w="4939"/>
            <w:vAlign w:val="center"/>
          </w:tcPr>
          <w:p>
            <w:pPr>
              <w:spacing w:after="40" w:before="40"/>
            </w:pPr>
            <w:r>
              <w:rPr>
                <w:sz w:val="17"/>
              </w:rPr>
              <w:t>Weave</w:t>
            </w:r>
          </w:p>
        </w:tc>
        <w:tc>
          <w:tcPr>
            <w:tcW w:type="dxa" w:w="4939"/>
            <w:vAlign w:val="center"/>
          </w:tcPr>
          <w:p>
            <w:pPr>
              <w:spacing w:after="40" w:before="40"/>
            </w:pPr>
            <w:r>
              <w:rPr>
                <w:sz w:val="17"/>
              </w:rPr>
              <w:t>An immutable named manifest of ordered lands and the state root they produce.</w:t>
            </w:r>
          </w:p>
        </w:tc>
      </w:tr>
      <w:tr>
        <w:tc>
          <w:tcPr>
            <w:tcW w:type="dxa" w:w="4939"/>
            <w:vAlign w:val="center"/>
            <w:shd w:fill="EDF4F8"/>
          </w:tcPr>
          <w:p>
            <w:pPr>
              <w:spacing w:after="40" w:before="40"/>
            </w:pPr>
            <w:r>
              <w:rPr>
                <w:sz w:val="17"/>
              </w:rPr>
              <w:t>Land candidate</w:t>
            </w:r>
          </w:p>
        </w:tc>
        <w:tc>
          <w:tcPr>
            <w:tcW w:type="dxa" w:w="4939"/>
            <w:vAlign w:val="center"/>
            <w:shd w:fill="EDF4F8"/>
          </w:tcPr>
          <w:p>
            <w:pPr>
              <w:spacing w:after="40" w:before="40"/>
            </w:pPr>
            <w:r>
              <w:rPr>
                <w:sz w:val="17"/>
              </w:rPr>
              <w:t>The exact proposal, target state, policy, reviews, and integration result a human gate approves.</w:t>
            </w:r>
          </w:p>
        </w:tc>
      </w:tr>
      <w:tr>
        <w:tc>
          <w:tcPr>
            <w:tcW w:type="dxa" w:w="4939"/>
            <w:vAlign w:val="center"/>
          </w:tcPr>
          <w:p>
            <w:pPr>
              <w:spacing w:after="40" w:before="40"/>
            </w:pPr>
            <w:r>
              <w:rPr>
                <w:sz w:val="17"/>
              </w:rPr>
              <w:t>Gate</w:t>
            </w:r>
          </w:p>
        </w:tc>
        <w:tc>
          <w:tcPr>
            <w:tcW w:type="dxa" w:w="4939"/>
            <w:vAlign w:val="center"/>
          </w:tcPr>
          <w:p>
            <w:pPr>
              <w:spacing w:after="40" w:before="40"/>
            </w:pPr>
            <w:r>
              <w:rPr>
                <w:sz w:val="17"/>
              </w:rPr>
              <w:t>A human-authored claim containing a WebAuthn assertion over a land-candidate hash.</w:t>
            </w:r>
          </w:p>
        </w:tc>
      </w:tr>
      <w:tr>
        <w:tc>
          <w:tcPr>
            <w:tcW w:type="dxa" w:w="4939"/>
            <w:vAlign w:val="center"/>
            <w:shd w:fill="EDF4F8"/>
          </w:tcPr>
          <w:p>
            <w:pPr>
              <w:spacing w:after="40" w:before="40"/>
            </w:pPr>
            <w:r>
              <w:rPr>
                <w:sz w:val="17"/>
              </w:rPr>
              <w:t>Witness</w:t>
            </w:r>
          </w:p>
        </w:tc>
        <w:tc>
          <w:tcPr>
            <w:tcW w:type="dxa" w:w="4939"/>
            <w:vAlign w:val="center"/>
            <w:shd w:fill="EDF4F8"/>
          </w:tcPr>
          <w:p>
            <w:pPr>
              <w:spacing w:after="40" w:before="40"/>
            </w:pPr>
            <w:r>
              <w:rPr>
                <w:sz w:val="17"/>
              </w:rPr>
              <w:t>Content-addressed evidence such as a projection, test run, review result, or integration execution.</w:t>
            </w:r>
          </w:p>
        </w:tc>
      </w:tr>
      <w:tr>
        <w:tc>
          <w:tcPr>
            <w:tcW w:type="dxa" w:w="4939"/>
            <w:vAlign w:val="center"/>
          </w:tcPr>
          <w:p>
            <w:pPr>
              <w:spacing w:after="40" w:before="40"/>
            </w:pPr>
            <w:r>
              <w:rPr>
                <w:sz w:val="17"/>
              </w:rPr>
              <w:t>Patch</w:t>
            </w:r>
          </w:p>
        </w:tc>
        <w:tc>
          <w:tcPr>
            <w:tcW w:type="dxa" w:w="4939"/>
            <w:vAlign w:val="center"/>
          </w:tcPr>
          <w:p>
            <w:pPr>
              <w:spacing w:after="40" w:before="40"/>
            </w:pPr>
            <w:r>
              <w:rPr>
                <w:sz w:val="17"/>
              </w:rPr>
              <w:t>A deterministic list of file operations against a declared baseline state.</w:t>
            </w:r>
          </w:p>
        </w:tc>
      </w:tr>
      <w:tr>
        <w:tc>
          <w:tcPr>
            <w:tcW w:type="dxa" w:w="4939"/>
            <w:vAlign w:val="center"/>
            <w:shd w:fill="EDF4F8"/>
          </w:tcPr>
          <w:p>
            <w:pPr>
              <w:spacing w:after="40" w:before="40"/>
            </w:pPr>
            <w:r>
              <w:rPr>
                <w:sz w:val="17"/>
              </w:rPr>
              <w:t>State root</w:t>
            </w:r>
          </w:p>
        </w:tc>
        <w:tc>
          <w:tcPr>
            <w:tcW w:type="dxa" w:w="4939"/>
            <w:vAlign w:val="center"/>
            <w:shd w:fill="EDF4F8"/>
          </w:tcPr>
          <w:p>
            <w:pPr>
              <w:spacing w:after="40" w:before="40"/>
            </w:pPr>
            <w:r>
              <w:rPr>
                <w:sz w:val="17"/>
              </w:rPr>
              <w:t>A Merkle root representing the fully materialized file tree of a weave or candidate.</w:t>
            </w:r>
          </w:p>
        </w:tc>
      </w:tr>
      <w:tr>
        <w:tc>
          <w:tcPr>
            <w:tcW w:type="dxa" w:w="4939"/>
            <w:vAlign w:val="center"/>
          </w:tcPr>
          <w:p>
            <w:pPr>
              <w:spacing w:after="40" w:before="40"/>
            </w:pPr>
            <w:r>
              <w:rPr>
                <w:sz w:val="17"/>
              </w:rPr>
              <w:t>Policy pack</w:t>
            </w:r>
          </w:p>
        </w:tc>
        <w:tc>
          <w:tcPr>
            <w:tcW w:type="dxa" w:w="4939"/>
            <w:vAlign w:val="center"/>
          </w:tcPr>
          <w:p>
            <w:pPr>
              <w:spacing w:after="40" w:before="40"/>
            </w:pPr>
            <w:r>
              <w:rPr>
                <w:sz w:val="17"/>
              </w:rPr>
              <w:t>A signed, versioned, machine-readable rule set governing admissibility.</w:t>
            </w:r>
          </w:p>
        </w:tc>
      </w:tr>
    </w:tbl>
    <w:p>
      <w:pPr>
        <w:spacing w:after="40"/>
      </w:pPr>
    </w:p>
    <w:p>
      <w:pPr>
        <w:pStyle w:val="Heading1"/>
      </w:pPr>
      <w:r>
        <w:t>3 Architecture</w:t>
      </w:r>
    </w:p>
    <w:p>
      <w:r>
        <w:t>Skein has three layers. The core understands content-addressed claims, file content, deterministic materialization, policy evaluation, and the land protocol. It never parses source syntax. A repository service coordinates shared state and verifies gates. Optional extensions add language structure or projection retrieval without changing the core's identity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93"/>
        <w:gridCol w:w="3293"/>
        <w:gridCol w:w="3293"/>
      </w:tblGrid>
      <w:tr>
        <w:trPr>
          <w:tblHeader w:val="true"/>
        </w:trPr>
        <w:tc>
          <w:tcPr>
            <w:tcW w:type="dxa" w:w="1656"/>
            <w:shd w:fill="1F4E78"/>
            <w:vAlign w:val="center"/>
          </w:tcPr>
          <w:p>
            <w:r>
              <w:rPr>
                <w:b/>
                <w:color w:val="FFFFFF"/>
                <w:sz w:val="17"/>
              </w:rPr>
              <w:t>Layer</w:t>
            </w:r>
          </w:p>
        </w:tc>
        <w:tc>
          <w:tcPr>
            <w:tcW w:type="dxa" w:w="5040"/>
            <w:shd w:fill="1F4E78"/>
            <w:vAlign w:val="center"/>
          </w:tcPr>
          <w:p>
            <w:r>
              <w:rPr>
                <w:b/>
                <w:color w:val="FFFFFF"/>
                <w:sz w:val="17"/>
              </w:rPr>
              <w:t>Responsibility</w:t>
            </w:r>
          </w:p>
        </w:tc>
        <w:tc>
          <w:tcPr>
            <w:tcW w:type="dxa" w:w="2736"/>
            <w:shd w:fill="1F4E78"/>
            <w:vAlign w:val="center"/>
          </w:tcPr>
          <w:p>
            <w:r>
              <w:rPr>
                <w:b/>
                <w:color w:val="FFFFFF"/>
                <w:sz w:val="17"/>
              </w:rPr>
              <w:t>Boundary</w:t>
            </w:r>
          </w:p>
        </w:tc>
      </w:tr>
      <w:tr>
        <w:tc>
          <w:tcPr>
            <w:tcW w:type="dxa" w:w="1656"/>
            <w:vAlign w:val="center"/>
          </w:tcPr>
          <w:p>
            <w:pPr>
              <w:spacing w:after="40" w:before="40"/>
            </w:pPr>
            <w:r>
              <w:rPr>
                <w:sz w:val="17"/>
              </w:rPr>
              <w:t>Core</w:t>
            </w:r>
          </w:p>
        </w:tc>
        <w:tc>
          <w:tcPr>
            <w:tcW w:type="dxa" w:w="5040"/>
            <w:vAlign w:val="center"/>
          </w:tcPr>
          <w:p>
            <w:pPr>
              <w:spacing w:after="40" w:before="40"/>
            </w:pPr>
            <w:r>
              <w:rPr>
                <w:sz w:val="17"/>
              </w:rPr>
              <w:t>Object store, claims, threads, weave reconstruction, checkout, patch composition, policy evaluation, land-candidate validation.</w:t>
            </w:r>
          </w:p>
        </w:tc>
        <w:tc>
          <w:tcPr>
            <w:tcW w:type="dxa" w:w="2736"/>
            <w:vAlign w:val="center"/>
          </w:tcPr>
          <w:p>
            <w:pPr>
              <w:spacing w:after="40" w:before="40"/>
            </w:pPr>
            <w:r>
              <w:rPr>
                <w:sz w:val="17"/>
              </w:rPr>
              <w:t>Language-agnostic; knows files and bytes, not syntax.</w:t>
            </w:r>
          </w:p>
        </w:tc>
      </w:tr>
      <w:tr>
        <w:tc>
          <w:tcPr>
            <w:tcW w:type="dxa" w:w="1656"/>
            <w:vAlign w:val="center"/>
            <w:shd w:fill="EDF4F8"/>
          </w:tcPr>
          <w:p>
            <w:pPr>
              <w:spacing w:after="40" w:before="40"/>
            </w:pPr>
            <w:r>
              <w:rPr>
                <w:sz w:val="17"/>
              </w:rPr>
              <w:t>Repository service</w:t>
            </w:r>
          </w:p>
        </w:tc>
        <w:tc>
          <w:tcPr>
            <w:tcW w:type="dxa" w:w="5040"/>
            <w:vAlign w:val="center"/>
            <w:shd w:fill="EDF4F8"/>
          </w:tcPr>
          <w:p>
            <w:pPr>
              <w:spacing w:after="40" w:before="40"/>
            </w:pPr>
            <w:r>
              <w:rPr>
                <w:sz w:val="17"/>
              </w:rPr>
              <w:t>Remote sync, serialized land queue, weave compare-and-swap, human credential verification, packet and board surfaces.</w:t>
            </w:r>
          </w:p>
        </w:tc>
        <w:tc>
          <w:tcPr>
            <w:tcW w:type="dxa" w:w="2736"/>
            <w:vAlign w:val="center"/>
            <w:shd w:fill="EDF4F8"/>
          </w:tcPr>
          <w:p>
            <w:pPr>
              <w:spacing w:after="40" w:before="40"/>
            </w:pPr>
            <w:r>
              <w:rPr>
                <w:sz w:val="17"/>
              </w:rPr>
              <w:t>Required for teams; may run in-process with a local lock for solo use.</w:t>
            </w:r>
          </w:p>
        </w:tc>
      </w:tr>
      <w:tr>
        <w:tc>
          <w:tcPr>
            <w:tcW w:type="dxa" w:w="1656"/>
            <w:vAlign w:val="center"/>
          </w:tcPr>
          <w:p>
            <w:pPr>
              <w:spacing w:after="40" w:before="40"/>
            </w:pPr>
            <w:r>
              <w:rPr>
                <w:sz w:val="17"/>
              </w:rPr>
              <w:t>Extensions</w:t>
            </w:r>
          </w:p>
        </w:tc>
        <w:tc>
          <w:tcPr>
            <w:tcW w:type="dxa" w:w="5040"/>
            <w:vAlign w:val="center"/>
          </w:tcPr>
          <w:p>
            <w:pPr>
              <w:spacing w:after="40" w:before="40"/>
            </w:pPr>
            <w:r>
              <w:rPr>
                <w:sz w:val="17"/>
              </w:rPr>
              <w:t>Language adapters, projection retrieval, extra witness kinds, extra policy packs.</w:t>
            </w:r>
          </w:p>
        </w:tc>
        <w:tc>
          <w:tcPr>
            <w:tcW w:type="dxa" w:w="2736"/>
            <w:vAlign w:val="center"/>
          </w:tcPr>
          <w:p>
            <w:pPr>
              <w:spacing w:after="40" w:before="40"/>
            </w:pPr>
            <w:r>
              <w:rPr>
                <w:sz w:val="17"/>
              </w:rPr>
              <w:t>Out of process; conformance does not depend on them.</w:t>
            </w:r>
          </w:p>
        </w:tc>
      </w:tr>
    </w:tbl>
    <w:p>
      <w:pPr>
        <w:spacing w:after="40"/>
      </w:pPr>
    </w:p>
    <w:p>
      <w:pPr>
        <w:pStyle w:val="Heading1"/>
      </w:pPr>
      <w:r>
        <w:t>4 Object identity and repository model</w:t>
      </w:r>
    </w:p>
    <w:p>
      <w:r>
        <w:t>The repository is an append-only object store. Claims and witnesses are immutable. Supersession, abandonment, retraction, redaction, credential changes, and policy changes are new objects referring to prior objects. Derived indexes and user-interface status may be rebuilt from the object graph; they are never an alternate source of truth.</w:t>
      </w:r>
    </w:p>
    <w:p>
      <w:pPr>
        <w:pStyle w:val="Heading2"/>
      </w:pPr>
      <w:r>
        <w:t>4.1 Canonical encoding</w:t>
      </w:r>
    </w:p>
    <w:p>
      <w:r>
        <w:t>All hashed structured objects use Skein Canonical JSON v1: UTF-8 encoding; Unicode NFC strings; lexicographically ordered object keys by Unicode code point; JSON integers only; no floating-point values; RFC 3339 UTC timestamps with millisecond precision; and an explicit schema_version. Unknown fields are rejected in a hashed v1 claim body. Raw file content remains raw bytes.</w:t>
      </w:r>
    </w:p>
    <w:p>
      <w:r>
        <w:t>Object identifiers use SHA-256 with mandatory domain separation. For example, a claim ID is sha256("skein.claim.v1\0" || canonical claim bytes); a witness ID is sha256("skein.witness.v1\0" || canonical witness bytes); and a blob ID is sha256("skein.blob.v1\0" || raw blob bytes). A conforming implementation publishes and passes the canonicalization test vectors in Appendix B.</w:t>
      </w:r>
    </w:p>
    <w:p>
      <w:pPr>
        <w:pStyle w:val="Heading2"/>
      </w:pPr>
      <w:r>
        <w:t>4.2 Claim</w:t>
      </w:r>
    </w:p>
    <w:p>
      <w:r>
        <w:t>A claim has id, schema_version, type, thread (optional only for repository-level claims), parents, accountable human, role, model, body, optional supersedes, and created timestamp. The timestamp is excluded from the claim hash; every other field is included. Parents are semantic dependencies, not a temporal previous-commit pointer. Claims that omit required parents or fail their type schema are malformed.</w:t>
      </w:r>
    </w:p>
    <w:p>
      <w:pPr>
        <w:pStyle w:val="Heading2"/>
      </w:pPr>
      <w:r>
        <w:t>4.3 Thread</w:t>
      </w:r>
    </w:p>
    <w:p>
      <w:r>
        <w:t>A thread is immutable configuration: id, title, kind, declared scale, target weave, dependencies, and opener. Draft, ready, building, in-review, gated, landed, and abandoned are derived states. A human-signed verdict changes scale or abandons a thread. A user interface may cache a head claim and state, but the cache is rebuildable from the graph.</w:t>
      </w:r>
    </w:p>
    <w:p>
      <w:pPr>
        <w:pStyle w:val="Heading2"/>
      </w:pPr>
      <w:r>
        <w:t>4.4 Weave</w:t>
      </w:r>
    </w:p>
    <w:p>
      <w:r>
        <w:t>A weave is an immutable signed manifest. It names a parent weave, an ordered list of land IDs, the policy ID and policy hash in force, and the state_root resulting from replaying the lands in order. A named weave pointer, such as main or release/1.x, advances only by compare-and-swap from one manifest ID to another.</w:t>
      </w:r>
    </w:p>
    <w:p>
      <w:r>
        <w:t>A land is never removed from history. A retract is a later land operation that constructs a new state without the effects specified by the retraction. The original land remains queryable, including its reason for retraction. A checkout is a deterministic rendering of the manifest's state root, not an assertion of new history.</w:t>
      </w:r>
    </w:p>
    <w:p>
      <w:pPr>
        <w:pStyle w:val="Heading1"/>
      </w:pPr>
      <w:r>
        <w:t>5 Claims and evidence</w:t>
      </w:r>
    </w:p>
    <w:p>
      <w:r>
        <w:t>Draft 0.3 retains the claim vocabulary: intent, brief, requirement, constraint, story, acceptance, patch, review, verdict, context, gate, land, retract, redact, and key. Extension types may be registered by policy. Unknown types may be stored but are not interpretable by the core checker and cannot satisfy a required type unless the active policy explicitly registers their schema and semantics.</w:t>
      </w:r>
    </w:p>
    <w:p>
      <w:pPr>
        <w:pStyle w:val="Heading2"/>
      </w:pPr>
      <w:r>
        <w:t>5.1 Constraint</w:t>
      </w:r>
    </w:p>
    <w:p>
      <w:r>
        <w:t>A constraint declares scope and check kind. Its scope is one or more normalized repository paths, path prefixes, or globs defined by the policy's glob grammar. Scope is evaluated against both the baseline and resulting path sets: an add checks its new path; a removal checks its old path; and a rename checks both old and new paths. A patch intersecting a mandatory live constraint must parent it. Check kinds are analyzer, contract-test, or advisory. Every applicable advisory constraint must receive an in-scope review finding under standard and deep policy.</w:t>
      </w:r>
    </w:p>
    <w:p>
      <w:pPr>
        <w:pStyle w:val="Heading2"/>
      </w:pPr>
      <w:r>
        <w:t>5.2 Story and acceptance</w:t>
      </w:r>
    </w:p>
    <w:p>
      <w:r>
        <w:t>A story has title, outcome, in-scope and out-of-scope statements, acceptance claim IDs, and applicable constraint IDs. An acceptance claim states an observable condition and its judgment method. A story is ready only when the active policy's planning requirements are met and any required readiness gate is valid.</w:t>
      </w:r>
    </w:p>
    <w:p>
      <w:pPr>
        <w:pStyle w:val="Heading2"/>
      </w:pPr>
      <w:r>
        <w:t>5.3 Patch</w:t>
      </w:r>
    </w:p>
    <w:p>
      <w:r>
        <w:t>A patch is an ordered list of add, remove, rename, edit, replace, and non-code claim-rendering operations. It declares the baseline weave manifest ID and baseline state root through its context witness. File content is stored by blob hash. The patch identity is its canonical operation list and semantic parents; a local checkout is not part of the identity.</w:t>
      </w:r>
    </w:p>
    <w:p>
      <w:pPr>
        <w:pStyle w:val="Heading2"/>
      </w:pPr>
      <w:r>
        <w:t>5.4 Deterministic file rules</w:t>
      </w:r>
    </w:p>
    <w:p>
      <w:pPr>
        <w:pStyle w:val="ListBullet"/>
      </w:pPr>
      <w:r>
        <w:t>Paths are normalized UTF-8 NFC strings, relative to the repository root, slash-separated, and may not contain empty, dot, or dot-dot components.</w:t>
      </w:r>
    </w:p>
    <w:p>
      <w:pPr>
        <w:pStyle w:val="ListBullet"/>
      </w:pPr>
      <w:r>
        <w:t>The repository declares case-sensitive or case-insensitive path mode at initialization. Case-only renames are rejected in v1 under case-insensitive mode.</w:t>
      </w:r>
    </w:p>
    <w:p>
      <w:pPr>
        <w:pStyle w:val="ListBullet"/>
      </w:pPr>
      <w:r>
        <w:t>V1 supports regular files. Symlinks, special files, submodules, and executable-bit changes are rejected unless a later schema version models them explicitly.</w:t>
      </w:r>
    </w:p>
    <w:p>
      <w:pPr>
        <w:pStyle w:val="ListBullet"/>
      </w:pPr>
      <w:r>
        <w:t>Text edits require UTF-8 and a declared line-ending mode. Binary or generated files use replace rather than line hunks.</w:t>
      </w:r>
    </w:p>
    <w:p>
      <w:pPr>
        <w:pStyle w:val="ListBullet"/>
      </w:pPr>
      <w:r>
        <w:t>A hunk range is half-open [start_line, end_line). Two replacement ranges conflict when they intersect. Insertions at the same boundary, or at a replacement boundary, conflict in v1.</w:t>
      </w:r>
    </w:p>
    <w:p>
      <w:pPr>
        <w:pStyle w:val="ListBullet"/>
      </w:pPr>
      <w:r>
        <w:t>Disjoint hunks apply in descending baseline position. Two adds of the same path, two replacements of the same path, and an edit of a removed path conflict. A rename reserves both old and new paths in its candidate.</w:t>
      </w:r>
    </w:p>
    <w:p>
      <w:pPr>
        <w:pStyle w:val="Heading2"/>
      </w:pPr>
      <w:r>
        <w:t>5.5 Witness</w:t>
      </w:r>
    </w:p>
    <w:p>
      <w:r>
        <w:t>Witnesses are evidence, not decisions. A context witness records the projection, selected claim IDs, source weave manifest and state root, reach capability, and enforcement mechanism. Test and adversarial witnesses record a command plan, outcome, and content-addressed logs. A review witness may reference a structured review claim. An integration witness is defined in section 8.</w:t>
      </w:r>
    </w:p>
    <w:p>
      <w:pPr>
        <w:pStyle w:val="Heading1"/>
      </w:pPr>
      <w:r>
        <w:t>6 Materialization and conflict</w:t>
      </w:r>
    </w:p>
    <w:p>
      <w:r>
        <w:t>skein checkout &lt;weave&gt; writes the files represented by a weave manifest. skein checkout --thread &lt;T&gt; additionally overlays eligible unlanded patches for local work. skein sync compares a working directory to its declared checkout baseline and asserts a patch. Editors and test runners write only disposable checkouts; no change exists in Skein until it is asserted as a claim.</w:t>
      </w:r>
    </w:p>
    <w:p>
      <w:r>
        <w:t>Conflict detection is mechanical and language-free. Structural compatibility only determines whether patches can compose. It never admits a merge by itself. Any compatible composition must still satisfy all applicable constraints and pass the integration plan against the composed state. Semantic conflicts are instead detected by the integration witness, constraint checks, review, and optional language adapters.</w:t>
      </w:r>
    </w:p>
    <w:p>
      <w:pPr>
        <w:pStyle w:val="Heading1"/>
      </w:pPr>
      <w:r>
        <w:t>7 Authorship and policy</w:t>
      </w:r>
    </w:p>
    <w:p>
      <w:r>
        <w:t>Every claim records accountable human, drafting role, and model family/version (empty for directly human-authored bodies). The default policy requires review independence: a review role differs from the patch-author role, and its model family differs from the patch model family. For deep threads, the land gate signer differs from the accountable human.</w:t>
      </w:r>
    </w:p>
    <w:p>
      <w:pPr>
        <w:pStyle w:val="Heading2"/>
      </w:pPr>
      <w:r>
        <w:t>7.1 Policy packs</w:t>
      </w:r>
    </w:p>
    <w:p>
      <w:r>
        <w:t>A policy pack is a signed, versioned, content-addressed object. It defines claim schemas, required claims and witnesses, parent requirements, review independence, gates, integration command plans, scope scale floors, gate reuse rules, and the authority allowed to replace the policy. Every land candidate pins the exact policy hash it was evaluated under. A policy update is itself a human-gated land; a candidate may not be admitted under a different policy from the one it names.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1728"/>
            <w:shd w:fill="1F4E78"/>
            <w:vAlign w:val="center"/>
          </w:tcPr>
          <w:p>
            <w:r>
              <w:rPr>
                <w:b/>
                <w:color w:val="FFFFFF"/>
                <w:sz w:val="17"/>
              </w:rPr>
              <w:t>Scale</w:t>
            </w:r>
          </w:p>
        </w:tc>
        <w:tc>
          <w:tcPr>
            <w:tcW w:type="dxa" w:w="7704"/>
            <w:shd w:fill="1F4E78"/>
            <w:vAlign w:val="center"/>
          </w:tcPr>
          <w:p>
            <w:r>
              <w:rPr>
                <w:b/>
                <w:color w:val="FFFFFF"/>
                <w:sz w:val="17"/>
              </w:rPr>
              <w:t>Default requirements before land</w:t>
            </w:r>
          </w:p>
        </w:tc>
      </w:tr>
      <w:tr>
        <w:tc>
          <w:tcPr>
            <w:tcW w:type="dxa" w:w="1728"/>
            <w:vAlign w:val="center"/>
          </w:tcPr>
          <w:p>
            <w:pPr>
              <w:spacing w:after="40" w:before="40"/>
            </w:pPr>
            <w:r>
              <w:rPr>
                <w:sz w:val="17"/>
              </w:rPr>
              <w:t>trivial</w:t>
            </w:r>
          </w:p>
        </w:tc>
        <w:tc>
          <w:tcPr>
            <w:tcW w:type="dxa" w:w="7704"/>
            <w:vAlign w:val="center"/>
          </w:tcPr>
          <w:p>
            <w:pPr>
              <w:spacing w:after="40" w:before="40"/>
            </w:pPr>
            <w:r>
              <w:rPr>
                <w:sz w:val="17"/>
              </w:rPr>
              <w:t>Patch, test witness, passing integration witness, land gate.</w:t>
            </w:r>
          </w:p>
        </w:tc>
      </w:tr>
      <w:tr>
        <w:tc>
          <w:tcPr>
            <w:tcW w:type="dxa" w:w="1728"/>
            <w:vAlign w:val="center"/>
            <w:shd w:fill="EDF4F8"/>
          </w:tcPr>
          <w:p>
            <w:pPr>
              <w:spacing w:after="40" w:before="40"/>
            </w:pPr>
            <w:r>
              <w:rPr>
                <w:sz w:val="17"/>
              </w:rPr>
              <w:t>standard</w:t>
            </w:r>
          </w:p>
        </w:tc>
        <w:tc>
          <w:tcPr>
            <w:tcW w:type="dxa" w:w="7704"/>
            <w:vAlign w:val="center"/>
            <w:shd w:fill="EDF4F8"/>
          </w:tcPr>
          <w:p>
            <w:pPr>
              <w:spacing w:after="40" w:before="40"/>
            </w:pPr>
            <w:r>
              <w:rPr>
                <w:sz w:val="17"/>
              </w:rPr>
              <w:t>Story, acceptance, patch, red and green witnesses, adversarial witness, independent review, passing integration witness, land gate.</w:t>
            </w:r>
          </w:p>
        </w:tc>
      </w:tr>
      <w:tr>
        <w:tc>
          <w:tcPr>
            <w:tcW w:type="dxa" w:w="1728"/>
            <w:vAlign w:val="center"/>
          </w:tcPr>
          <w:p>
            <w:pPr>
              <w:spacing w:after="40" w:before="40"/>
            </w:pPr>
            <w:r>
              <w:rPr>
                <w:sz w:val="17"/>
              </w:rPr>
              <w:t>deep</w:t>
            </w:r>
          </w:p>
        </w:tc>
        <w:tc>
          <w:tcPr>
            <w:tcW w:type="dxa" w:w="7704"/>
            <w:vAlign w:val="center"/>
          </w:tcPr>
          <w:p>
            <w:pPr>
              <w:spacing w:after="40" w:before="40"/>
            </w:pPr>
            <w:r>
              <w:rPr>
                <w:sz w:val="17"/>
              </w:rPr>
              <w:t>Standard requirements plus brief or requirement parents, architecture-gated constraints where applicable, readiness gate, and a second human land signer.</w:t>
            </w:r>
          </w:p>
        </w:tc>
      </w:tr>
    </w:tbl>
    <w:p>
      <w:pPr>
        <w:spacing w:after="40"/>
      </w:pPr>
    </w:p>
    <w:p>
      <w:pPr>
        <w:pStyle w:val="Heading1"/>
      </w:pPr>
      <w:r>
        <w:t>8 Landing</w:t>
      </w:r>
    </w:p>
    <w:p>
      <w:r>
        <w:t>Landing is a transaction. It admits a closed set of claims to a target weave or changes nothing. Lands against a weave are serialized by its land queue. The queue validates a candidate, materializes its composed state, runs its integration plan, verifies the gate, writes a land claim, and advances the named weave pointer by compare-and-swap.</w:t>
      </w:r>
    </w:p>
    <w:p>
      <w:pPr>
        <w:pStyle w:val="Heading2"/>
      </w:pPr>
      <w:r>
        <w:t>8.1 Land candidate</w:t>
      </w:r>
    </w:p>
    <w:p>
      <w:r>
        <w:t>A LandCandidate is the immutable subject of human approval. It contains repository ID; target weave manifest ID and state root; proposal claim IDs; active policy ID and hash; applicable constraint IDs; required review claim IDs; integration-plan hash; integration-witness ID; and the composed state root. Its packet is a human-readable rendering of those fields, the story, change summary, findings, constraints, and evidence. A gate signs hash("skein.land-candidate.v1\0" || canonical candidate bytes).</w:t>
      </w:r>
    </w:p>
    <w:p>
      <w:pPr>
        <w:pStyle w:val="Heading2"/>
      </w:pPr>
      <w:r>
        <w:t>8.2 Candidate validity</w:t>
      </w:r>
    </w:p>
    <w:p>
      <w:pPr>
        <w:pStyle w:val="ListBullet"/>
      </w:pPr>
      <w:r>
        <w:t>Every dependency thread has an eligible land in the target weave.</w:t>
      </w:r>
    </w:p>
    <w:p>
      <w:pPr>
        <w:pStyle w:val="ListBullet"/>
      </w:pPr>
      <w:r>
        <w:t>All policy-required claims, parents, witnesses, and reviews are present and valid under the pinned policy.</w:t>
      </w:r>
    </w:p>
    <w:p>
      <w:pPr>
        <w:pStyle w:val="ListBullet"/>
      </w:pPr>
      <w:r>
        <w:t>Every live applicable constraint is parented and every advisory constraint has a current finding.</w:t>
      </w:r>
    </w:p>
    <w:p>
      <w:pPr>
        <w:pStyle w:val="ListBullet"/>
      </w:pPr>
      <w:r>
        <w:t>The proposed operations are conflict-free against the target state and within the candidate.</w:t>
      </w:r>
    </w:p>
    <w:p>
      <w:pPr>
        <w:pStyle w:val="ListBullet"/>
      </w:pPr>
      <w:r>
        <w:t>The integration witness names the candidate, exact target state root, exact composed state root, and exact integration plan hash, and it passes.</w:t>
      </w:r>
    </w:p>
    <w:p>
      <w:pPr>
        <w:pStyle w:val="ListBullet"/>
      </w:pPr>
      <w:r>
        <w:t>A valid human gate signs this exact candidate hash using a credential valid under repository policy.</w:t>
      </w:r>
    </w:p>
    <w:p>
      <w:pPr>
        <w:pStyle w:val="Heading2"/>
      </w:pPr>
      <w:r>
        <w:t>8.3 Staleness and gate reuse</w:t>
      </w:r>
    </w:p>
    <w:p>
      <w:r>
        <w:t>By default, any target weave advance, policy change, proposal change, applicable-constraint change, review change, integration-plan change, or failed rerun expires a candidate. The queue builds a new candidate, reruns integration, and requires a new gate. A policy may explicitly allow gate reuse only when its declared equivalence rule proves that proposal claims, applicable constraints, policy hash, declared file inputs, and declared test inputs are unaffected. The resulting land records both the original approved state and final landed state; it never claims the human viewed a state they did not approve.</w:t>
      </w:r>
    </w:p>
    <w:p>
      <w:pPr>
        <w:pStyle w:val="Heading2"/>
      </w:pPr>
      <w:r>
        <w:t>8.4 Integration witness</w:t>
      </w:r>
    </w:p>
    <w:p>
      <w:r>
        <w:t>An integration witness records candidate ID; target and composed state roots; runner image digest; toolchain fingerprint; command-plan hash; allowed environment hash; network policy; declared inputs and outputs; exit status; timestamps; and separate stdout and stderr blob IDs. Integration executes untrusted code in an isolated runner. Network access is disabled by default. Secrets are unavailable unless a policy declares their injection and identity. Retry, quarantine, and flaky-result handling belong to policy and are recorded in the witness.</w:t>
      </w:r>
    </w:p>
    <w:p>
      <w:pPr>
        <w:pStyle w:val="Heading1"/>
      </w:pPr>
      <w:r>
        <w:t>9 Agent protocol</w:t>
      </w:r>
    </w:p>
    <w:p>
      <w:r>
        <w:t>The supported interface is open-thread, assert, project, witness, sync, propose-land, gate, land, port, query, and checkout. An implementation agent is offered project as its default read. It may not discover context by scanning the object store unless its granted reach explicitly permits that operation.</w:t>
      </w:r>
    </w:p>
    <w:p>
      <w:pPr>
        <w:pStyle w:val="Heading2"/>
      </w:pPr>
      <w:r>
        <w:t>9.1 Projection reach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232"/>
            <w:shd w:fill="1F4E78"/>
            <w:vAlign w:val="center"/>
          </w:tcPr>
          <w:p>
            <w:r>
              <w:rPr>
                <w:b/>
                <w:color w:val="FFFFFF"/>
                <w:sz w:val="17"/>
              </w:rPr>
              <w:t>Reach</w:t>
            </w:r>
          </w:p>
        </w:tc>
        <w:tc>
          <w:tcPr>
            <w:tcW w:type="dxa" w:w="7200"/>
            <w:shd w:fill="1F4E78"/>
            <w:vAlign w:val="center"/>
          </w:tcPr>
          <w:p>
            <w:r>
              <w:rPr>
                <w:b/>
                <w:color w:val="FFFFFF"/>
                <w:sz w:val="17"/>
              </w:rPr>
              <w:t>Capability</w:t>
            </w:r>
          </w:p>
        </w:tc>
      </w:tr>
      <w:tr>
        <w:tc>
          <w:tcPr>
            <w:tcW w:type="dxa" w:w="2232"/>
            <w:vAlign w:val="center"/>
          </w:tcPr>
          <w:p>
            <w:pPr>
              <w:spacing w:after="40" w:before="40"/>
            </w:pPr>
            <w:r>
              <w:rPr>
                <w:sz w:val="17"/>
              </w:rPr>
              <w:t>projection-only</w:t>
            </w:r>
          </w:p>
        </w:tc>
        <w:tc>
          <w:tcPr>
            <w:tcW w:type="dxa" w:w="7200"/>
            <w:vAlign w:val="center"/>
          </w:tcPr>
          <w:p>
            <w:pPr>
              <w:spacing w:after="40" w:before="40"/>
            </w:pPr>
            <w:r>
              <w:rPr>
                <w:sz w:val="17"/>
              </w:rPr>
              <w:t>The runtime receives only the projection bundle and permitted blobs. It has no ambient checkout, repository API, network, or undeclared tools.</w:t>
            </w:r>
          </w:p>
        </w:tc>
      </w:tr>
      <w:tr>
        <w:tc>
          <w:tcPr>
            <w:tcW w:type="dxa" w:w="2232"/>
            <w:vAlign w:val="center"/>
            <w:shd w:fill="EDF4F8"/>
          </w:tcPr>
          <w:p>
            <w:pPr>
              <w:spacing w:after="40" w:before="40"/>
            </w:pPr>
            <w:r>
              <w:rPr>
                <w:sz w:val="17"/>
              </w:rPr>
              <w:t>checkout-readable</w:t>
            </w:r>
          </w:p>
        </w:tc>
        <w:tc>
          <w:tcPr>
            <w:tcW w:type="dxa" w:w="7200"/>
            <w:vAlign w:val="center"/>
            <w:shd w:fill="EDF4F8"/>
          </w:tcPr>
          <w:p>
            <w:pPr>
              <w:spacing w:after="40" w:before="40"/>
            </w:pPr>
            <w:r>
              <w:rPr>
                <w:sz w:val="17"/>
              </w:rPr>
              <w:t>The runtime may read a checkout at a fixed weave manifest, but cannot enumerate historical claims outside its projection.</w:t>
            </w:r>
          </w:p>
        </w:tc>
      </w:tr>
      <w:tr>
        <w:tc>
          <w:tcPr>
            <w:tcW w:type="dxa" w:w="2232"/>
            <w:vAlign w:val="center"/>
          </w:tcPr>
          <w:p>
            <w:pPr>
              <w:spacing w:after="40" w:before="40"/>
            </w:pPr>
            <w:r>
              <w:rPr>
                <w:sz w:val="17"/>
              </w:rPr>
              <w:t>tools</w:t>
            </w:r>
          </w:p>
        </w:tc>
        <w:tc>
          <w:tcPr>
            <w:tcW w:type="dxa" w:w="7200"/>
            <w:vAlign w:val="center"/>
          </w:tcPr>
          <w:p>
            <w:pPr>
              <w:spacing w:after="40" w:before="40"/>
            </w:pPr>
            <w:r>
              <w:rPr>
                <w:sz w:val="17"/>
              </w:rPr>
              <w:t>The runtime may invoke a declared tool allowlist. Each tool identifier, version, permission set, and invocation is attached to the witness.</w:t>
            </w:r>
          </w:p>
        </w:tc>
      </w:tr>
    </w:tbl>
    <w:p>
      <w:pPr>
        <w:spacing w:after="40"/>
      </w:pPr>
    </w:p>
    <w:p>
      <w:r>
        <w:t>A context witness records what was delivered and how reach was enforced, for example sandbox version, filesystem mode, network mode, and tool-allowlist hash. This is evidence of an enforced delivery boundary, not proof of what an LLM attended to internally.</w:t>
      </w:r>
    </w:p>
    <w:p>
      <w:pPr>
        <w:pStyle w:val="Heading2"/>
      </w:pPr>
      <w:r>
        <w:t>9.2 Review</w:t>
      </w:r>
    </w:p>
    <w:p>
      <w:r>
        <w:t>A review names its subject: a patch or a land candidate; the reviewed state root; the policy hash; reviewer role and model; and structured findings. Each finding identifies its applicable constraint where relevant, severity, disposition, rationale blob, and evidence. A later patch or candidate change makes a review stale unless a policy-defined equivalence rule says its reviewed scope is unaffected.</w:t>
      </w:r>
    </w:p>
    <w:p>
      <w:pPr>
        <w:pStyle w:val="Heading2"/>
      </w:pPr>
      <w:r>
        <w:t>9.3 Why query</w:t>
      </w:r>
    </w:p>
    <w:p>
      <w:r>
        <w:t>A path-level why query reconstructs the weave, identifies the last land and patch operation that changed the requested path, then walks its semantic parents: story, acceptance, constraints, context witness, reviews, gates, integration witness, and later verdicts or retracts. Line-range attribution is an optional extension until the patch model provides stable range provenance. Indexes may accelerate queries but must be rebuildable from claims and manifests.</w:t>
      </w:r>
    </w:p>
    <w:p>
      <w:pPr>
        <w:pStyle w:val="Heading1"/>
      </w:pPr>
      <w:r>
        <w:t>10 Credentials and gates</w:t>
      </w:r>
    </w:p>
    <w:p>
      <w:r>
        <w:t>A gate is authored by a registered human credential and contains gate name, land-candidate hash, and a WebAuthn assertion. The repository accepts it only when the assertion verifies for its relying-party identity, includes user verification, uses the candidate hash as challenge material, and belongs to a credential currently authorized by policy. Credential registration, revocation, recovery, and policy authority are managed by key claims and human-gated policy. A serious repository should begin with at least two independent recovery credentials.</w:t>
      </w:r>
    </w:p>
    <w:p>
      <w:r>
        <w:t>Skein does not claim to eliminate every social or endpoint compromise. Under its credential, relying-party, and authenticator assumptions, an agent that lacks a registered human authenticator and successful user verification cannot create a valid gate for a new candidate. Compromised endpoints, deceptive packet presentation, malicious enrollment, and a compromised service are separate threats that the deployment must mitigate.</w:t>
      </w:r>
    </w:p>
    <w:p>
      <w:pPr>
        <w:pStyle w:val="Heading1"/>
      </w:pPr>
      <w:r>
        <w:t>11 Store and transport</w:t>
      </w:r>
    </w:p>
    <w:p>
      <w:r>
        <w:t>Sync between clones transfers missing content-addressed objects and compares named weave pointers. There is no rebase. A stale local land is re-proposed against the current target weave and evaluated as a new candidate. Partial clone is projection, not sparse checkout. A blob may be redacted only through a human-signed redact claim; its tombstone preserves the original blob ID, reason, and auditable absence.</w:t>
      </w:r>
    </w:p>
    <w:p>
      <w:pPr>
        <w:pStyle w:val="Heading2"/>
      </w:pPr>
      <w:r>
        <w:t>11.1 Git export</w:t>
      </w:r>
    </w:p>
    <w:p>
      <w:r>
        <w:t>skein export git &lt;weave&gt; produces a one-way read-only Git mirror for CI, deployment, and review tools. The mirror contains one commit per land in manifest order, includes the land and candidate IDs in trailers, and is labeled a rendering of Skein state. Commits pushed to the mirror cannot land work in Skein.</w:t>
      </w:r>
    </w:p>
    <w:p>
      <w:pPr>
        <w:pStyle w:val="Heading1"/>
      </w:pPr>
      <w:r>
        <w:t>12 Human surfaces</w:t>
      </w:r>
    </w:p>
    <w:p>
      <w:pPr>
        <w:pStyle w:val="ListBullet"/>
      </w:pPr>
      <w:r>
        <w:t>Thread board: derived status, scale, dependencies, missing evidence, accountable human, and candidate freshness.</w:t>
      </w:r>
    </w:p>
    <w:p>
      <w:pPr>
        <w:pStyle w:val="ListBullet"/>
      </w:pPr>
      <w:r>
        <w:t>Packet: the exact candidate to be signed, including target state, policy, change summary, reviews, constraints, integration evidence, and the effect of any gate-reuse policy.</w:t>
      </w:r>
    </w:p>
    <w:p>
      <w:pPr>
        <w:pStyle w:val="ListBullet"/>
      </w:pPr>
      <w:r>
        <w:t>Why: a path-level chain from visible state back through land, patch, planning claims, evidence, approval, and later retractions.</w:t>
      </w:r>
    </w:p>
    <w:p>
      <w:pPr>
        <w:pStyle w:val="ListBullet"/>
      </w:pPr>
      <w:r>
        <w:t>Diff: a useful rendering for familiar review tooling, never an alternative authority for admission.</w:t>
      </w:r>
    </w:p>
    <w:p>
      <w:pPr>
        <w:pStyle w:val="Heading1"/>
      </w:pPr>
      <w:r>
        <w:t>13 Conformance</w:t>
      </w:r>
    </w:p>
    <w:p>
      <w:pPr>
        <w:pStyle w:val="ListBullet"/>
      </w:pPr>
      <w:r>
        <w:t>Implement Skein Canonical JSON v1 and publish passing normative test vectors for every hashed object kind.</w:t>
      </w:r>
    </w:p>
    <w:p>
      <w:pPr>
        <w:pStyle w:val="ListBullet"/>
      </w:pPr>
      <w:r>
        <w:t>Refuse mutation of stored claims and refuse malformed claims, patches, policy packs, and witnesses.</w:t>
      </w:r>
    </w:p>
    <w:p>
      <w:pPr>
        <w:pStyle w:val="ListBullet"/>
      </w:pPr>
      <w:r>
        <w:t>Reconstruct the same state root from a weave manifest and ordered lands.</w:t>
      </w:r>
    </w:p>
    <w:p>
      <w:pPr>
        <w:pStyle w:val="ListBullet"/>
      </w:pPr>
      <w:r>
        <w:t>Implement the v1 path and hunk conflict rules and never admit a merge on structural compatibility alone.</w:t>
      </w:r>
    </w:p>
    <w:p>
      <w:pPr>
        <w:pStyle w:val="ListBullet"/>
      </w:pPr>
      <w:r>
        <w:t>Refuse a gate that does not verify over the exact candidate hash against an authorized human credential.</w:t>
      </w:r>
    </w:p>
    <w:p>
      <w:pPr>
        <w:pStyle w:val="ListBullet"/>
      </w:pPr>
      <w:r>
        <w:t>Refuse land when its pinned policy is unsatisfied, its candidate is stale, or its integration witness does not pass for the exact composed state.</w:t>
      </w:r>
    </w:p>
    <w:p>
      <w:pPr>
        <w:pStyle w:val="ListBullet"/>
      </w:pPr>
      <w:r>
        <w:t>Advance a weave only through the serialized land queue and compare-and-swap on its prior manifest ID.</w:t>
      </w:r>
    </w:p>
    <w:p>
      <w:pPr>
        <w:pStyle w:val="ListBullet"/>
      </w:pPr>
      <w:r>
        <w:t>Record a context witness for every project call, including selected claim IDs, reach, and enforcement details.</w:t>
      </w:r>
    </w:p>
    <w:p>
      <w:pPr>
        <w:pStyle w:val="ListBullet"/>
      </w:pPr>
      <w:r>
        <w:t>Answer the path-level why query from rebuildable graph and manifest state.</w:t>
      </w:r>
    </w:p>
    <w:p>
      <w:pPr>
        <w:pStyle w:val="Heading1"/>
      </w:pPr>
      <w:r>
        <w:t>14 Delivery sequence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39"/>
        <w:gridCol w:w="4939"/>
      </w:tblGrid>
      <w:tr>
        <w:trPr>
          <w:tblHeader w:val="true"/>
        </w:trPr>
        <w:tc>
          <w:tcPr>
            <w:tcW w:type="dxa" w:w="2448"/>
            <w:shd w:fill="1F4E78"/>
            <w:vAlign w:val="center"/>
          </w:tcPr>
          <w:p>
            <w:r>
              <w:rPr>
                <w:b/>
                <w:color w:val="FFFFFF"/>
                <w:sz w:val="17"/>
              </w:rPr>
              <w:t>Phase</w:t>
            </w:r>
          </w:p>
        </w:tc>
        <w:tc>
          <w:tcPr>
            <w:tcW w:type="dxa" w:w="6984"/>
            <w:shd w:fill="1F4E78"/>
            <w:vAlign w:val="center"/>
          </w:tcPr>
          <w:p>
            <w:r>
              <w:rPr>
                <w:b/>
                <w:color w:val="FFFFFF"/>
                <w:sz w:val="17"/>
              </w:rPr>
              <w:t>Scope</w:t>
            </w:r>
          </w:p>
        </w:tc>
      </w:tr>
      <w:tr>
        <w:tc>
          <w:tcPr>
            <w:tcW w:type="dxa" w:w="2448"/>
            <w:vAlign w:val="center"/>
          </w:tcPr>
          <w:p>
            <w:pPr>
              <w:spacing w:after="40" w:before="40"/>
            </w:pPr>
            <w:r>
              <w:rPr>
                <w:sz w:val="17"/>
              </w:rPr>
              <w:t>1 Deterministic local kernel</w:t>
            </w:r>
          </w:p>
        </w:tc>
        <w:tc>
          <w:tcPr>
            <w:tcW w:type="dxa" w:w="6984"/>
            <w:vAlign w:val="center"/>
          </w:tcPr>
          <w:p>
            <w:pPr>
              <w:spacing w:after="40" w:before="40"/>
            </w:pPr>
            <w:r>
              <w:rPr>
                <w:sz w:val="17"/>
              </w:rPr>
              <w:t>Canonical claims and blobs, one local weave, deterministic checkout and patch composition, fixed integration plan, simulated gate using the final candidate schema, and conformance tests.</w:t>
            </w:r>
          </w:p>
        </w:tc>
      </w:tr>
      <w:tr>
        <w:tc>
          <w:tcPr>
            <w:tcW w:type="dxa" w:w="2448"/>
            <w:vAlign w:val="center"/>
            <w:shd w:fill="EDF4F8"/>
          </w:tcPr>
          <w:p>
            <w:pPr>
              <w:spacing w:after="40" w:before="40"/>
            </w:pPr>
            <w:r>
              <w:rPr>
                <w:sz w:val="17"/>
              </w:rPr>
              <w:t>2 Trustworthy admission</w:t>
            </w:r>
          </w:p>
        </w:tc>
        <w:tc>
          <w:tcPr>
            <w:tcW w:type="dxa" w:w="6984"/>
            <w:vAlign w:val="center"/>
            <w:shd w:fill="EDF4F8"/>
          </w:tcPr>
          <w:p>
            <w:pPr>
              <w:spacing w:after="40" w:before="40"/>
            </w:pPr>
            <w:r>
              <w:rPr>
                <w:sz w:val="17"/>
              </w:rPr>
              <w:t>Signed policy packs, WebAuthn gates, structured independent reviews, scoped constraints, sandboxed integration, packet view, board, and Git export.</w:t>
            </w:r>
          </w:p>
        </w:tc>
      </w:tr>
      <w:tr>
        <w:tc>
          <w:tcPr>
            <w:tcW w:type="dxa" w:w="2448"/>
            <w:vAlign w:val="center"/>
          </w:tcPr>
          <w:p>
            <w:pPr>
              <w:spacing w:after="40" w:before="40"/>
            </w:pPr>
            <w:r>
              <w:rPr>
                <w:sz w:val="17"/>
              </w:rPr>
              <w:t>3 Distribution and extensions</w:t>
            </w:r>
          </w:p>
        </w:tc>
        <w:tc>
          <w:tcPr>
            <w:tcW w:type="dxa" w:w="6984"/>
            <w:vAlign w:val="center"/>
          </w:tcPr>
          <w:p>
            <w:pPr>
              <w:spacing w:after="40" w:before="40"/>
            </w:pPr>
            <w:r>
              <w:rPr>
                <w:sz w:val="17"/>
              </w:rPr>
              <w:t>Remote sync, multi-user service, recovery workflows, enforced projection sandboxes, retrieval, and language adapters where measured evidence justifies them.</w:t>
            </w:r>
          </w:p>
        </w:tc>
      </w:tr>
    </w:tbl>
    <w:p>
      <w:pPr>
        <w:spacing w:after="40"/>
      </w:pPr>
    </w:p>
    <w:p>
      <w:pPr>
        <w:pStyle w:val="Heading1"/>
      </w:pPr>
      <w:r>
        <w:t>15 Open questions</w:t>
      </w:r>
    </w:p>
    <w:p>
      <w:pPr>
        <w:pStyle w:val="ListBullet"/>
      </w:pPr>
      <w:r>
        <w:t>Which canonical JSON profile and hash agility mechanism should become the long-lived v1 contract?</w:t>
      </w:r>
    </w:p>
    <w:p>
      <w:pPr>
        <w:pStyle w:val="ListBullet"/>
      </w:pPr>
      <w:r>
        <w:t>What declared-test-input model is conservative enough to support any gate-reuse policy safely?</w:t>
      </w:r>
    </w:p>
    <w:p>
      <w:pPr>
        <w:pStyle w:val="ListBullet"/>
      </w:pPr>
      <w:r>
        <w:t>Which sandbox substrate can enforce projection-only reach across supported platforms?</w:t>
      </w:r>
    </w:p>
    <w:p>
      <w:pPr>
        <w:pStyle w:val="ListBullet"/>
      </w:pPr>
      <w:r>
        <w:t>What recovery threshold is safe and usable for small teams without creating an agent-reachable path?</w:t>
      </w:r>
    </w:p>
    <w:p>
      <w:pPr>
        <w:pStyle w:val="ListBullet"/>
      </w:pPr>
      <w:r>
        <w:t>How should an existing repository be imported so that its day-one state root and initial constraints are explicit?</w:t>
      </w:r>
    </w:p>
    <w:p>
      <w:pPr>
        <w:pStyle w:val="ListBullet"/>
      </w:pPr>
      <w:r>
        <w:t>When do integration witnesses fail often enough on semantic conflicts to justify syntactic or compiler-backed adapters?</w:t>
      </w:r>
    </w:p>
    <w:p>
      <w:pPr>
        <w:pStyle w:val="Heading1"/>
      </w:pPr>
      <w:r>
        <w:t>16 Summary</w:t>
      </w:r>
    </w:p>
    <w:p>
      <w:r>
        <w:t>Skein versions decisions and derives code state from accepted decisions. Threads organize work without being branches. Weaves are immutable ordered manifests whose state roots make materialization reproducible. Patches are deterministic file-level operations. Policy specifies the evidence and approval required for each scale of work. A land candidate binds proposal, target state, policy, review, and integration evidence into the exact object a human signs. The core stays language-agnostic, while compilers, tests, reviewers, humans, and optional adapters supply judgment where they are strongest.</w:t>
      </w:r>
    </w:p>
    <w:p>
      <w:pPr>
        <w:pStyle w:val="Heading1"/>
      </w:pPr>
      <w:r>
        <w:t>Appendix A Extensions non normative</w:t>
      </w:r>
    </w:p>
    <w:p>
      <w:pPr>
        <w:pStyle w:val="Heading2"/>
      </w:pPr>
      <w:r>
        <w:t>A.1 Language adapters</w:t>
      </w:r>
    </w:p>
    <w:p>
      <w:r>
        <w:t>A language adapter is an out-of-process plugin that may parse a file into stable symbols, render symbol operations losslessly, reverse-parse edits made by sync, and resolve references. It may offer symbol-scoped constraints, signature-aware conflicts, and symbol-level why queries. An adapter ID and version must be pinned wherever it affects a resulting state or judgment. Conformance never requires one.</w:t>
      </w:r>
    </w:p>
    <w:p>
      <w:pPr>
        <w:pStyle w:val="Heading1"/>
      </w:pPr>
      <w:r>
        <w:t>Appendix B Normative test vectors</w:t>
      </w:r>
    </w:p>
    <w:p>
      <w:r>
        <w:t>The published specification repository SHALL contain executable vectors for canonical object encoding, domain-separated hashes, path normalization, hunk boundary conflicts, rename and removal conflicts, weave replay, candidate staleness, gate verification inputs, policy replacement, and path-level why reconstruction. A conforming implementation must pass the applicable vectors before exchanging objects with another implementation.</w:t>
      </w:r>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Skein specification draft 0.3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