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Skein</w:t>
      </w:r>
    </w:p>
    <w:p>
      <w:pPr>
        <w:jc w:val="left"/>
      </w:pPr>
      <w:r>
        <w:rPr>
          <w:b/>
          <w:sz w:val="28"/>
        </w:rPr>
        <w:t>A version control system for agentic development</w:t>
      </w:r>
    </w:p>
    <w:p>
      <w:r>
        <w:t xml:space="preserve">Draft 0.4  |  7 October 2026  |  Status: exploratory specification</w:t>
      </w:r>
    </w:p>
    <w:p>
      <w:r>
        <w:t>Skein is a version control system for AI-assisted development under the BMad method. It is not Git and is not a layer on Git. Its unit of history is a decision: a claim with explicit evidence, policy, and accountable human approval. Code is the materialized consequence of accepted decisions.</w:t>
      </w:r>
    </w:p>
    <w:p>
      <w:pPr>
        <w:pStyle w:val="Heading1"/>
      </w:pPr>
      <w:r>
        <w:t xml:space="preserve">Changes from Draft 0.3</w:t>
      </w:r>
    </w:p>
    <w:p>
      <w:r>
        <w:t xml:space="preserve">Draft 0.4 fixes the v1 identity and materialization contracts: canonical bytes and identifier preimages, state-root construction, baseline-relative patch composition, and candidate challenge encoding are normative. It also defines the repository trust bootstrap, minimum evidence for projection reach, and a locally verifiable end-to-end acceptance path. Platform-specific sandbox selection, repository import, and recovery thresholds remain explicit deployment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shd w:fill="1F4E78"/>
            <w:vAlign w:val="center"/>
          </w:tcPr>
          <w:p>
            <w:r>
              <w:rPr>
                <w:b/>
                <w:color w:val="FFFFFF"/>
                <w:sz w:val="17"/>
              </w:rPr>
              <w:t>Change</w:t>
            </w:r>
          </w:p>
        </w:tc>
        <w:tc>
          <w:tcPr>
            <w:tcW w:type="dxa" w:w="7200"/>
            <w:shd w:fill="1F4E78"/>
            <w:vAlign w:val="center"/>
          </w:tcPr>
          <w:p>
            <w:r>
              <w:rPr>
                <w:b/>
                <w:color w:val="FFFFFF"/>
                <w:sz w:val="17"/>
              </w:rPr>
              <w:t>Resolution</w:t>
            </w:r>
          </w:p>
        </w:tc>
      </w:tr>
      <w:tr>
        <w:tc>
          <w:tcPr>
            <w:tcW w:type="dxa" w:w="2232"/>
            <w:vAlign w:val="center"/>
          </w:tcPr>
          <w:p>
            <w:pPr>
              <w:spacing w:after="40" w:before="40"/>
            </w:pPr>
            <w:r>
              <w:rPr>
                <w:sz w:val="17"/>
              </w:rPr>
              <w:t>Gate semantics</w:t>
            </w:r>
          </w:p>
        </w:tc>
        <w:tc>
          <w:tcPr>
            <w:tcW w:type="dxa" w:w="7200"/>
            <w:vAlign w:val="center"/>
          </w:tcPr>
          <w:p>
            <w:pPr>
              <w:spacing w:after="40" w:before="40"/>
            </w:pPr>
            <w:r>
              <w:rPr>
                <w:sz w:val="17"/>
              </w:rPr>
              <w:t>A gate signs a canonical LandCandidate. Target-state or integration changes expire the candidate by default.</w:t>
            </w:r>
          </w:p>
        </w:tc>
      </w:tr>
      <w:tr>
        <w:tc>
          <w:tcPr>
            <w:tcW w:type="dxa" w:w="2232"/>
            <w:vAlign w:val="center"/>
            <w:shd w:fill="EDF4F8"/>
          </w:tcPr>
          <w:p>
            <w:pPr>
              <w:spacing w:after="40" w:before="40"/>
            </w:pPr>
            <w:r>
              <w:rPr>
                <w:sz w:val="17"/>
              </w:rPr>
              <w:t>Weave semantics</w:t>
            </w:r>
          </w:p>
        </w:tc>
        <w:tc>
          <w:tcPr>
            <w:tcW w:type="dxa" w:w="7200"/>
            <w:vAlign w:val="center"/>
            <w:shd w:fill="EDF4F8"/>
          </w:tcPr>
          <w:p>
            <w:pPr>
              <w:spacing w:after="40" w:before="40"/>
            </w:pPr>
            <w:r>
              <w:rPr>
                <w:sz w:val="17"/>
              </w:rPr>
              <w:t>A weave is an immutable ordered manifest of lands with a deterministic state root.</w:t>
            </w:r>
          </w:p>
        </w:tc>
      </w:tr>
      <w:tr>
        <w:tc>
          <w:tcPr>
            <w:tcW w:type="dxa" w:w="2232"/>
            <w:vAlign w:val="center"/>
          </w:tcPr>
          <w:p>
            <w:pPr>
              <w:spacing w:after="40" w:before="40"/>
            </w:pPr>
            <w:r>
              <w:rPr>
                <w:sz w:val="17"/>
              </w:rPr>
              <w:t>Patch composition</w:t>
            </w:r>
          </w:p>
        </w:tc>
        <w:tc>
          <w:tcPr>
            <w:tcW w:type="dxa" w:w="7200"/>
            <w:vAlign w:val="center"/>
          </w:tcPr>
          <w:p>
            <w:pPr>
              <w:spacing w:after="40" w:before="40"/>
            </w:pPr>
            <w:r>
              <w:rPr>
                <w:sz w:val="17"/>
              </w:rPr>
              <w:t>Paths, text hunks, boundaries, rename behavior, and conflicts have defined v1 rules.</w:t>
            </w:r>
          </w:p>
        </w:tc>
      </w:tr>
      <w:tr>
        <w:tc>
          <w:tcPr>
            <w:tcW w:type="dxa" w:w="2232"/>
            <w:vAlign w:val="center"/>
            <w:shd w:fill="EDF4F8"/>
          </w:tcPr>
          <w:p>
            <w:pPr>
              <w:spacing w:after="40" w:before="40"/>
            </w:pPr>
            <w:r>
              <w:rPr>
                <w:sz w:val="17"/>
              </w:rPr>
              <w:t>Policy</w:t>
            </w:r>
          </w:p>
        </w:tc>
        <w:tc>
          <w:tcPr>
            <w:tcW w:type="dxa" w:w="7200"/>
            <w:vAlign w:val="center"/>
            <w:shd w:fill="EDF4F8"/>
          </w:tcPr>
          <w:p>
            <w:pPr>
              <w:spacing w:after="40" w:before="40"/>
            </w:pPr>
            <w:r>
              <w:rPr>
                <w:sz w:val="17"/>
              </w:rPr>
              <w:t>Policy packs are signed, versioned machine-readable objects pinned into every candidate.</w:t>
            </w:r>
          </w:p>
        </w:tc>
      </w:tr>
      <w:tr>
        <w:tc>
          <w:tcPr>
            <w:tcW w:type="dxa" w:w="2232"/>
            <w:vAlign w:val="center"/>
          </w:tcPr>
          <w:p>
            <w:pPr>
              <w:spacing w:after="40" w:before="40"/>
            </w:pPr>
            <w:r>
              <w:rPr>
                <w:sz w:val="17"/>
              </w:rPr>
              <w:t>Evidence</w:t>
            </w:r>
          </w:p>
        </w:tc>
        <w:tc>
          <w:tcPr>
            <w:tcW w:type="dxa" w:w="7200"/>
            <w:vAlign w:val="center"/>
          </w:tcPr>
          <w:p>
            <w:pPr>
              <w:spacing w:after="40" w:before="40"/>
            </w:pPr>
            <w:r>
              <w:rPr>
                <w:sz w:val="17"/>
              </w:rPr>
              <w:t>Integration witnesses identify runner, toolchain, command plan, state roots, logs, and execution restrictions.</w:t>
            </w:r>
          </w:p>
        </w:tc>
      </w:tr>
      <w:tr>
        <w:tc>
          <w:tcPr>
            <w:tcW w:type="dxa" w:w="2232"/>
            <w:vAlign w:val="center"/>
            <w:shd w:fill="EDF4F8"/>
          </w:tcPr>
          <w:p>
            <w:pPr>
              <w:spacing w:after="40" w:before="40"/>
            </w:pPr>
            <w:r>
              <w:rPr>
                <w:sz w:val="17"/>
              </w:rPr>
              <w:t>Projection</w:t>
            </w:r>
          </w:p>
        </w:tc>
        <w:tc>
          <w:tcPr>
            <w:tcW w:type="dxa" w:w="7200"/>
            <w:vAlign w:val="center"/>
            <w:shd w:fill="EDF4F8"/>
          </w:tcPr>
          <w:p>
            <w:pPr>
              <w:spacing w:after="40" w:before="40"/>
            </w:pPr>
            <w:r>
              <w:rPr>
                <w:sz w:val="17"/>
              </w:rPr>
              <w:t>Reach labels state enforceable capabilities as well as delivered context.</w:t>
            </w:r>
          </w:p>
        </w:tc>
      </w:tr>
    </w:tbl>
    <w:p>
      <w:pPr>
        <w:spacing w:after="40"/>
      </w:pPr>
    </w:p>
    <w:p>
      <w:pPr>
        <w:pStyle w:val="Heading1"/>
      </w:pPr>
      <w:r>
        <w:t>1 Purpose</w:t>
      </w:r>
    </w:p>
    <w:p>
      <w:r>
        <w:t>Coding agents can produce patches quickly but do not by themselves preserve the judgment that made a patch safe to admit. BMad places that judgment in briefs, requirements, architecture constraints, stories, acceptance claims, tests, reviews, and human gates. Skein makes those artifacts first-class, content-addressed history rather than collateral files beside source code.</w:t>
      </w:r>
    </w:p>
    <w:p>
      <w:r>
        <w:t>Skein stores planning artifacts, source content, and evidence in one append-only graph. A human approves a concrete candidate rather than a generic diff. A land is admitted only when its policy is satisfied and its composed result has passed integration. The resulting history can answer why a path exists, which constraints governed it, what the agent was given, and who approved its admission.</w:t>
      </w:r>
    </w:p>
    <w:p>
      <w:pPr>
        <w:pStyle w:val="Heading2"/>
      </w:pPr>
      <w:r>
        <w:t>1.1 Goals</w:t>
      </w:r>
    </w:p>
    <w:p>
      <w:pPr>
        <w:pStyle w:val="ListBullet"/>
      </w:pPr>
      <w:r>
        <w:t>Store decisions, code, and evidence in a single content-addressed graph.</w:t>
      </w:r>
    </w:p>
    <w:p>
      <w:pPr>
        <w:pStyle w:val="ListBullet"/>
      </w:pPr>
      <w:r>
        <w:t>Use a story and its acceptance claims as the unit of work rather than a commit message.</w:t>
      </w:r>
    </w:p>
    <w:p>
      <w:pPr>
        <w:pStyle w:val="ListBullet"/>
      </w:pPr>
      <w:r>
        <w:t>Give agents bounded, reproducible projections and record the enforceable reach granted to them.</w:t>
      </w:r>
    </w:p>
    <w:p>
      <w:pPr>
        <w:pStyle w:val="ListBullet"/>
      </w:pPr>
      <w:r>
        <w:t>Compose parallel work mechanically and require integration against the actual composed state.</w:t>
      </w:r>
    </w:p>
    <w:p>
      <w:pPr>
        <w:pStyle w:val="ListBullet"/>
      </w:pPr>
      <w:r>
        <w:t>Keep human accountability separate from agent roles and model identity.</w:t>
      </w:r>
    </w:p>
    <w:p>
      <w:pPr>
        <w:pStyle w:val="ListBullet"/>
      </w:pPr>
      <w:r>
        <w:t>Make gates cryptographically bind a human approval to an exact candidate.</w:t>
      </w:r>
    </w:p>
    <w:p>
      <w:pPr>
        <w:pStyle w:val="ListBullet"/>
      </w:pPr>
      <w:r>
        <w:t>Retain abandoned, rejected, and retracted approaches as queryable evidence.</w:t>
      </w:r>
    </w:p>
    <w:p>
      <w:pPr>
        <w:pStyle w:val="Heading2"/>
      </w:pPr>
      <w:r>
        <w:t>1.2 Non-goals</w:t>
      </w:r>
    </w:p>
    <w:p>
      <w:pPr>
        <w:pStyle w:val="ListBullet"/>
      </w:pPr>
      <w:r>
        <w:t>Wire compatibility with Git packfiles, refs, or the Git index.</w:t>
      </w:r>
    </w:p>
    <w:p>
      <w:pPr>
        <w:pStyle w:val="ListBullet"/>
      </w:pPr>
      <w:r>
        <w:t>Replacing compilers, test runners, editors, or language servers.</w:t>
      </w:r>
    </w:p>
    <w:p>
      <w:pPr>
        <w:pStyle w:val="ListBullet"/>
      </w:pPr>
      <w:r>
        <w:t>Source-language parsing in the core; language adapters remain optional extensions.</w:t>
      </w:r>
    </w:p>
    <w:p>
      <w:pPr>
        <w:pStyle w:val="ListBullet"/>
      </w:pPr>
      <w:r>
        <w:t>Proving what an LLM internally attended to or reasoned about.</w:t>
      </w:r>
    </w:p>
    <w:p>
      <w:pPr>
        <w:pStyle w:val="ListBullet"/>
      </w:pPr>
      <w:r>
        <w:t>Encoding an entire development methodology; policy decides the required ceremony.</w:t>
      </w:r>
    </w:p>
    <w:p>
      <w:pPr>
        <w:pStyle w:val="Heading1"/>
      </w:pPr>
      <w:r>
        <w:t>2 Terms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4939"/>
            <w:shd w:fill="1F4E78"/>
            <w:vAlign w:val="center"/>
          </w:tcPr>
          <w:p>
            <w:r>
              <w:rPr>
                <w:b/>
                <w:color w:val="FFFFFF"/>
                <w:sz w:val="17"/>
              </w:rPr>
              <w:t>Term</w:t>
            </w:r>
          </w:p>
        </w:tc>
        <w:tc>
          <w:tcPr>
            <w:tcW w:type="dxa" w:w="4939"/>
            <w:shd w:fill="1F4E78"/>
            <w:vAlign w:val="center"/>
          </w:tcPr>
          <w:p>
            <w:r>
              <w:rPr>
                <w:b/>
                <w:color w:val="FFFFFF"/>
                <w:sz w:val="17"/>
              </w:rPr>
              <w:t>Meaning</w:t>
            </w:r>
          </w:p>
        </w:tc>
      </w:tr>
      <w:tr>
        <w:tc>
          <w:tcPr>
            <w:tcW w:type="dxa" w:w="4939"/>
            <w:vAlign w:val="center"/>
          </w:tcPr>
          <w:p>
            <w:pPr>
              <w:spacing w:after="40" w:before="40"/>
            </w:pPr>
            <w:r>
              <w:rPr>
                <w:sz w:val="17"/>
              </w:rPr>
              <w:t>Claim</w:t>
            </w:r>
          </w:p>
        </w:tc>
        <w:tc>
          <w:tcPr>
            <w:tcW w:type="dxa" w:w="4939"/>
            <w:vAlign w:val="center"/>
          </w:tcPr>
          <w:p>
            <w:pPr>
              <w:spacing w:after="40" w:before="40"/>
            </w:pPr>
            <w:r>
              <w:rPr>
                <w:sz w:val="17"/>
              </w:rPr>
              <w:t>An immutable, content-addressed assertion. The atom of history.</w:t>
            </w:r>
          </w:p>
        </w:tc>
      </w:tr>
      <w:tr>
        <w:tc>
          <w:tcPr>
            <w:tcW w:type="dxa" w:w="4939"/>
            <w:vAlign w:val="center"/>
            <w:shd w:fill="EDF4F8"/>
          </w:tcPr>
          <w:p>
            <w:pPr>
              <w:spacing w:after="40" w:before="40"/>
            </w:pPr>
            <w:r>
              <w:rPr>
                <w:sz w:val="17"/>
              </w:rPr>
              <w:t>Thread</w:t>
            </w:r>
          </w:p>
        </w:tc>
        <w:tc>
          <w:tcPr>
            <w:tcW w:type="dxa" w:w="4939"/>
            <w:vAlign w:val="center"/>
            <w:shd w:fill="EDF4F8"/>
          </w:tcPr>
          <w:p>
            <w:pPr>
              <w:spacing w:after="40" w:before="40"/>
            </w:pPr>
            <w:r>
              <w:rPr>
                <w:sz w:val="17"/>
              </w:rPr>
              <w:t>A named line of work. Its visible status is derived from claims and events, not a branch.</w:t>
            </w:r>
          </w:p>
        </w:tc>
      </w:tr>
      <w:tr>
        <w:tc>
          <w:tcPr>
            <w:tcW w:type="dxa" w:w="4939"/>
            <w:vAlign w:val="center"/>
          </w:tcPr>
          <w:p>
            <w:pPr>
              <w:spacing w:after="40" w:before="40"/>
            </w:pPr>
            <w:r>
              <w:rPr>
                <w:sz w:val="17"/>
              </w:rPr>
              <w:t>Weave</w:t>
            </w:r>
          </w:p>
        </w:tc>
        <w:tc>
          <w:tcPr>
            <w:tcW w:type="dxa" w:w="4939"/>
            <w:vAlign w:val="center"/>
          </w:tcPr>
          <w:p>
            <w:pPr>
              <w:spacing w:after="40" w:before="40"/>
            </w:pPr>
            <w:r>
              <w:rPr>
                <w:sz w:val="17"/>
              </w:rPr>
              <w:t>An immutable named manifest of ordered lands and the state root they produce.</w:t>
            </w:r>
          </w:p>
        </w:tc>
      </w:tr>
      <w:tr>
        <w:tc>
          <w:tcPr>
            <w:tcW w:type="dxa" w:w="4939"/>
            <w:vAlign w:val="center"/>
            <w:shd w:fill="EDF4F8"/>
          </w:tcPr>
          <w:p>
            <w:pPr>
              <w:spacing w:after="40" w:before="40"/>
            </w:pPr>
            <w:r>
              <w:rPr>
                <w:sz w:val="17"/>
              </w:rPr>
              <w:t>Land candidate</w:t>
            </w:r>
          </w:p>
        </w:tc>
        <w:tc>
          <w:tcPr>
            <w:tcW w:type="dxa" w:w="4939"/>
            <w:vAlign w:val="center"/>
            <w:shd w:fill="EDF4F8"/>
          </w:tcPr>
          <w:p>
            <w:pPr>
              <w:spacing w:after="40" w:before="40"/>
            </w:pPr>
            <w:r>
              <w:rPr>
                <w:sz w:val="17"/>
              </w:rPr>
              <w:t>The exact proposal, target state, policy, reviews, and integration result a human gate approves.</w:t>
            </w:r>
          </w:p>
        </w:tc>
      </w:tr>
      <w:tr>
        <w:tc>
          <w:tcPr>
            <w:tcW w:type="dxa" w:w="4939"/>
            <w:vAlign w:val="center"/>
          </w:tcPr>
          <w:p>
            <w:pPr>
              <w:spacing w:after="40" w:before="40"/>
            </w:pPr>
            <w:r>
              <w:rPr>
                <w:sz w:val="17"/>
              </w:rPr>
              <w:t>Gate</w:t>
            </w:r>
          </w:p>
        </w:tc>
        <w:tc>
          <w:tcPr>
            <w:tcW w:type="dxa" w:w="4939"/>
            <w:vAlign w:val="center"/>
          </w:tcPr>
          <w:p>
            <w:pPr>
              <w:spacing w:after="40" w:before="40"/>
            </w:pPr>
            <w:r>
              <w:rPr>
                <w:sz w:val="17"/>
              </w:rPr>
              <w:t>A human-authored claim containing a WebAuthn assertion over a land-candidate hash.</w:t>
            </w:r>
          </w:p>
        </w:tc>
      </w:tr>
      <w:tr>
        <w:tc>
          <w:tcPr>
            <w:tcW w:type="dxa" w:w="4939"/>
            <w:vAlign w:val="center"/>
            <w:shd w:fill="EDF4F8"/>
          </w:tcPr>
          <w:p>
            <w:pPr>
              <w:spacing w:after="40" w:before="40"/>
            </w:pPr>
            <w:r>
              <w:rPr>
                <w:sz w:val="17"/>
              </w:rPr>
              <w:t>Witness</w:t>
            </w:r>
          </w:p>
        </w:tc>
        <w:tc>
          <w:tcPr>
            <w:tcW w:type="dxa" w:w="4939"/>
            <w:vAlign w:val="center"/>
            <w:shd w:fill="EDF4F8"/>
          </w:tcPr>
          <w:p>
            <w:pPr>
              <w:spacing w:after="40" w:before="40"/>
            </w:pPr>
            <w:r>
              <w:rPr>
                <w:sz w:val="17"/>
              </w:rPr>
              <w:t>Content-addressed evidence such as a projection, test run, review result, or integration execution.</w:t>
            </w:r>
          </w:p>
        </w:tc>
      </w:tr>
      <w:tr>
        <w:tc>
          <w:tcPr>
            <w:tcW w:type="dxa" w:w="4939"/>
            <w:vAlign w:val="center"/>
          </w:tcPr>
          <w:p>
            <w:pPr>
              <w:spacing w:after="40" w:before="40"/>
            </w:pPr>
            <w:r>
              <w:rPr>
                <w:sz w:val="17"/>
              </w:rPr>
              <w:t>Patch</w:t>
            </w:r>
          </w:p>
        </w:tc>
        <w:tc>
          <w:tcPr>
            <w:tcW w:type="dxa" w:w="4939"/>
            <w:vAlign w:val="center"/>
          </w:tcPr>
          <w:p>
            <w:pPr>
              <w:spacing w:after="40" w:before="40"/>
            </w:pPr>
            <w:r>
              <w:rPr>
                <w:sz w:val="17"/>
              </w:rPr>
              <w:t>A deterministic list of file operations against a declared baseline state.</w:t>
            </w:r>
          </w:p>
        </w:tc>
      </w:tr>
      <w:tr>
        <w:tc>
          <w:tcPr>
            <w:tcW w:type="dxa" w:w="4939"/>
            <w:vAlign w:val="center"/>
            <w:shd w:fill="EDF4F8"/>
          </w:tcPr>
          <w:p>
            <w:pPr>
              <w:spacing w:after="40" w:before="40"/>
            </w:pPr>
            <w:r>
              <w:rPr>
                <w:sz w:val="17"/>
              </w:rPr>
              <w:t>State root</w:t>
            </w:r>
          </w:p>
        </w:tc>
        <w:tc>
          <w:tcPr>
            <w:tcW w:type="dxa" w:w="4939"/>
            <w:vAlign w:val="center"/>
            <w:shd w:fill="EDF4F8"/>
          </w:tcPr>
          <w:p>
            <w:pPr>
              <w:spacing w:after="40" w:before="40"/>
            </w:pPr>
            <w:r>
              <w:rPr>
                <w:sz w:val="17"/>
              </w:rPr>
              <w:t>A Merkle root representing the fully materialized file tree of a weave or candidate.</w:t>
            </w:r>
          </w:p>
        </w:tc>
      </w:tr>
      <w:tr>
        <w:tc>
          <w:tcPr>
            <w:tcW w:type="dxa" w:w="4939"/>
            <w:vAlign w:val="center"/>
          </w:tcPr>
          <w:p>
            <w:pPr>
              <w:spacing w:after="40" w:before="40"/>
            </w:pPr>
            <w:r>
              <w:rPr>
                <w:sz w:val="17"/>
              </w:rPr>
              <w:t>Policy pack</w:t>
            </w:r>
          </w:p>
        </w:tc>
        <w:tc>
          <w:tcPr>
            <w:tcW w:type="dxa" w:w="4939"/>
            <w:vAlign w:val="center"/>
          </w:tcPr>
          <w:p>
            <w:pPr>
              <w:spacing w:after="40" w:before="40"/>
            </w:pPr>
            <w:r>
              <w:rPr>
                <w:sz w:val="17"/>
              </w:rPr>
              <w:t>A signed, versioned, machine-readable rule set governing admissibility.</w:t>
            </w:r>
          </w:p>
        </w:tc>
      </w:tr>
    </w:tbl>
    <w:p>
      <w:pPr>
        <w:spacing w:after="40"/>
      </w:pPr>
    </w:p>
    <w:p>
      <w:pPr>
        <w:pStyle w:val="Heading1"/>
      </w:pPr>
      <w:r>
        <w:t>3 Architecture</w:t>
      </w:r>
    </w:p>
    <w:p>
      <w:r>
        <w:t>Skein has three layers. The core understands content-addressed claims, file content, deterministic materialization, policy evaluation, and the land protocol. It never parses source syntax. A repository service coordinates shared state and verifies gates. Optional extensions add language structure or projection retrieval without changing the core's identity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shd w:fill="1F4E78"/>
            <w:vAlign w:val="center"/>
          </w:tcPr>
          <w:p>
            <w:r>
              <w:rPr>
                <w:b/>
                <w:color w:val="FFFFFF"/>
                <w:sz w:val="17"/>
              </w:rPr>
              <w:t>Layer</w:t>
            </w:r>
          </w:p>
        </w:tc>
        <w:tc>
          <w:tcPr>
            <w:tcW w:type="dxa" w:w="5040"/>
            <w:shd w:fill="1F4E78"/>
            <w:vAlign w:val="center"/>
          </w:tcPr>
          <w:p>
            <w:r>
              <w:rPr>
                <w:b/>
                <w:color w:val="FFFFFF"/>
                <w:sz w:val="17"/>
              </w:rPr>
              <w:t>Responsibility</w:t>
            </w:r>
          </w:p>
        </w:tc>
        <w:tc>
          <w:tcPr>
            <w:tcW w:type="dxa" w:w="2736"/>
            <w:shd w:fill="1F4E78"/>
            <w:vAlign w:val="center"/>
          </w:tcPr>
          <w:p>
            <w:r>
              <w:rPr>
                <w:b/>
                <w:color w:val="FFFFFF"/>
                <w:sz w:val="17"/>
              </w:rPr>
              <w:t>Boundary</w:t>
            </w:r>
          </w:p>
        </w:tc>
      </w:tr>
      <w:tr>
        <w:tc>
          <w:tcPr>
            <w:tcW w:type="dxa" w:w="1656"/>
            <w:vAlign w:val="center"/>
          </w:tcPr>
          <w:p>
            <w:pPr>
              <w:spacing w:after="40" w:before="40"/>
            </w:pPr>
            <w:r>
              <w:rPr>
                <w:sz w:val="17"/>
              </w:rPr>
              <w:t>Core</w:t>
            </w:r>
          </w:p>
        </w:tc>
        <w:tc>
          <w:tcPr>
            <w:tcW w:type="dxa" w:w="5040"/>
            <w:vAlign w:val="center"/>
          </w:tcPr>
          <w:p>
            <w:pPr>
              <w:spacing w:after="40" w:before="40"/>
            </w:pPr>
            <w:r>
              <w:rPr>
                <w:sz w:val="17"/>
              </w:rPr>
              <w:t>Object store, claims, threads, weave reconstruction, checkout, patch composition, policy evaluation, land-candidate validation.</w:t>
            </w:r>
          </w:p>
        </w:tc>
        <w:tc>
          <w:tcPr>
            <w:tcW w:type="dxa" w:w="2736"/>
            <w:vAlign w:val="center"/>
          </w:tcPr>
          <w:p>
            <w:pPr>
              <w:spacing w:after="40" w:before="40"/>
            </w:pPr>
            <w:r>
              <w:rPr>
                <w:sz w:val="17"/>
              </w:rPr>
              <w:t>Language-agnostic; knows files and bytes, not syntax.</w:t>
            </w:r>
          </w:p>
        </w:tc>
      </w:tr>
      <w:tr>
        <w:tc>
          <w:tcPr>
            <w:tcW w:type="dxa" w:w="1656"/>
            <w:vAlign w:val="center"/>
            <w:shd w:fill="EDF4F8"/>
          </w:tcPr>
          <w:p>
            <w:pPr>
              <w:spacing w:after="40" w:before="40"/>
            </w:pPr>
            <w:r>
              <w:rPr>
                <w:sz w:val="17"/>
              </w:rPr>
              <w:t>Repository service</w:t>
            </w:r>
          </w:p>
        </w:tc>
        <w:tc>
          <w:tcPr>
            <w:tcW w:type="dxa" w:w="5040"/>
            <w:vAlign w:val="center"/>
            <w:shd w:fill="EDF4F8"/>
          </w:tcPr>
          <w:p>
            <w:pPr>
              <w:spacing w:after="40" w:before="40"/>
            </w:pPr>
            <w:r>
              <w:rPr>
                <w:sz w:val="17"/>
              </w:rPr>
              <w:t>Remote sync, serialized land queue, weave compare-and-swap, human credential verification, packet and board surfaces.</w:t>
            </w:r>
          </w:p>
        </w:tc>
        <w:tc>
          <w:tcPr>
            <w:tcW w:type="dxa" w:w="2736"/>
            <w:vAlign w:val="center"/>
            <w:shd w:fill="EDF4F8"/>
          </w:tcPr>
          <w:p>
            <w:pPr>
              <w:spacing w:after="40" w:before="40"/>
            </w:pPr>
            <w:r>
              <w:rPr>
                <w:sz w:val="17"/>
              </w:rPr>
              <w:t>Required for teams; may run in-process with a local lock for solo use.</w:t>
            </w:r>
          </w:p>
        </w:tc>
      </w:tr>
      <w:tr>
        <w:tc>
          <w:tcPr>
            <w:tcW w:type="dxa" w:w="1656"/>
            <w:vAlign w:val="center"/>
          </w:tcPr>
          <w:p>
            <w:pPr>
              <w:spacing w:after="40" w:before="40"/>
            </w:pPr>
            <w:r>
              <w:rPr>
                <w:sz w:val="17"/>
              </w:rPr>
              <w:t>Extensions</w:t>
            </w:r>
          </w:p>
        </w:tc>
        <w:tc>
          <w:tcPr>
            <w:tcW w:type="dxa" w:w="5040"/>
            <w:vAlign w:val="center"/>
          </w:tcPr>
          <w:p>
            <w:pPr>
              <w:spacing w:after="40" w:before="40"/>
            </w:pPr>
            <w:r>
              <w:rPr>
                <w:sz w:val="17"/>
              </w:rPr>
              <w:t>Language adapters, projection retrieval, extra witness kinds, extra policy packs.</w:t>
            </w:r>
          </w:p>
        </w:tc>
        <w:tc>
          <w:tcPr>
            <w:tcW w:type="dxa" w:w="2736"/>
            <w:vAlign w:val="center"/>
          </w:tcPr>
          <w:p>
            <w:pPr>
              <w:spacing w:after="40" w:before="40"/>
            </w:pPr>
            <w:r>
              <w:rPr>
                <w:sz w:val="17"/>
              </w:rPr>
              <w:t>Out of process; conformance does not depend on them.</w:t>
            </w:r>
          </w:p>
        </w:tc>
      </w:tr>
    </w:tbl>
    <w:p>
      <w:pPr>
        <w:spacing w:after="40"/>
      </w:pPr>
    </w:p>
    <w:p>
      <w:pPr>
        <w:pStyle w:val="Heading1"/>
      </w:pPr>
      <w:r>
        <w:t>4 Object identity and repository model</w:t>
      </w:r>
    </w:p>
    <w:p>
      <w:r>
        <w:t>The repository is an append-only object store. Claims and witnesses are immutable. Supersession, abandonment, retraction, redaction, credential changes, and policy changes are new objects referring to prior objects. Derived indexes and user-interface status may be rebuilt from the object graph; they are never an alternate source of truth.</w:t>
      </w:r>
    </w:p>
    <w:p>
      <w:pPr>
        <w:pStyle w:val="Heading2"/>
      </w:pPr>
      <w:r>
        <w:t>4.1 Canonical encoding</w:t>
      </w:r>
    </w:p>
    <w:p>
      <w:r>
        <w:t xml:space="preserve">All hashed structured objects use Skein Canonical JSON v1. Encode UTF-8 without a BOM or insignificant whitespace; normalize every string and object key to Unicode NFC; reject duplicate keys after normalization and unpaired surrogates; sort object keys by Unicode code-point order; preserve array order; and emit non-ASCII scalar values directly as UTF-8. Escape quotation mark, reverse solidus, and U+0000 through U+001F using the shortest JSON escapes (lowercase hexadecimal for remaining controls). Numbers are base-10 integers only, in signed 64-bit range, with no leading zero, plus sign, decimal point, exponent, or negative zero. Timestamps use exactly YYYY-MM-DDTHH:mm:ss.sssZ and represent UTC. Every hashed object has an explicit schema_version; unknown fields are rejected unless its schema explicitly permits extensions.</w:t>
      </w:r>
    </w:p>
    <w:p>
      <w:r>
        <w:t xml:space="preserve">Object identifiers are 32-byte SHA-256 digests rendered as 64 lowercase hexadecimal characters. The hash preimage is the ASCII domain label, one NUL byte, and canonical identity bytes. The identity projection omits the object's derived id field; a claim additionally omits created timestamp. Thus IDs are not self-referential, claim timestamps do not change identity, and all other schema fields are identity-bearing. Domains are skein.claim.v1, skein.witness.v1, skein.blob.v1, skein.state.v1, skein.thread.v1, skein.weave.v1, skein.policy.v1, and skein.land-candidate.v1. Repository genesis identity is established by the bootstrap ceremony, not inferred from an untrusted object hash. A conforming implementation passes the primitive and object vectors in Appendices B and C.</w:t>
      </w:r>
    </w:p>
    <w:p>
      <w:pPr>
        <w:pStyle w:val="Heading2"/>
      </w:pPr>
      <w:r>
        <w:t>4.2 Claim</w:t>
      </w:r>
    </w:p>
    <w:p>
      <w:r>
        <w:t>A claim has id, schema_version, type, thread (optional only for repository-level claims), parents, accountable human, role, model, body, optional supersedes, and created timestamp. The timestamp is excluded from the claim hash; every other field is included. Parents are semantic dependencies, not a temporal previous-commit pointer. Claims that omit required parents or fail their type schema are malformed.</w:t>
      </w:r>
    </w:p>
    <w:p>
      <w:pPr>
        <w:pStyle w:val="Heading2"/>
      </w:pPr>
      <w:r>
        <w:t>4.3 Thread</w:t>
      </w:r>
    </w:p>
    <w:p>
      <w:r>
        <w:t>A thread is immutable configuration: id, title, kind, declared scale, target weave, dependencies, and opener. Draft, ready, building, in-review, gated, landed, and abandoned are derived states. A human-signed verdict changes scale or abandons a thread. A user interface may cache a head claim and state, but the cache is rebuildable from the graph.</w:t>
      </w:r>
    </w:p>
    <w:p>
      <w:pPr>
        <w:pStyle w:val="Heading2"/>
      </w:pPr>
      <w:r>
        <w:t>4.4 Weave</w:t>
      </w:r>
    </w:p>
    <w:p>
      <w:r>
        <w:t xml:space="preserve">A weave is an immutable content-addressed manifest. It names a parent weave, an ordered list of land IDs, the policy ID and policy hash in force, and the state_root resulting from replaying the lands in order. The manifest ID uses the skein.weave.v1 domain. Its admission is authorized by the accepted human-gated land chain; an optional service signature is detached evidence and cannot replace land authorization.</w:t>
      </w:r>
    </w:p>
    <w:p>
      <w:r>
        <w:t>A land is never removed from history. A retract is a later land operation that constructs a new state without the effects specified by the retraction. The original land remains queryable, including its reason for retraction. A checkout is a deterministic rendering of the manifest's state root, not an assertion of new history.</w:t>
      </w:r>
    </w:p>
    <w:p>
      <w:pPr>
        <w:pStyle w:val="Heading1"/>
      </w:pPr>
      <w:r>
        <w:t>5 Claims and evidence</w:t>
      </w:r>
    </w:p>
    <w:p>
      <w:r>
        <w:t>Draft 0.3 retains the claim vocabulary: intent, brief, requirement, constraint, story, acceptance, patch, review, verdict, context, gate, land, retract, redact, and key. Extension types may be registered by policy. Unknown types may be stored but are not interpretable by the core checker and cannot satisfy a required type unless the active policy explicitly registers their schema and semantics.</w:t>
      </w:r>
    </w:p>
    <w:p>
      <w:pPr>
        <w:pStyle w:val="Heading2"/>
      </w:pPr>
      <w:r>
        <w:t>5.1 Constraint</w:t>
      </w:r>
    </w:p>
    <w:p>
      <w:r>
        <w:t>A constraint declares scope and check kind. Its scope is one or more normalized repository paths, path prefixes, or globs defined by the policy's glob grammar. Scope is evaluated against both the baseline and resulting path sets: an add checks its new path; a removal checks its old path; and a rename checks both old and new paths. A patch intersecting a mandatory live constraint must parent it. Check kinds are analyzer, contract-test, or advisory. Every applicable advisory constraint must receive an in-scope review finding under standard and deep policy.</w:t>
      </w:r>
    </w:p>
    <w:p>
      <w:pPr>
        <w:pStyle w:val="Heading2"/>
      </w:pPr>
      <w:r>
        <w:t>5.2 Story and acceptance</w:t>
      </w:r>
    </w:p>
    <w:p>
      <w:r>
        <w:t>A story has title, outcome, in-scope and out-of-scope statements, acceptance claim IDs, and applicable constraint IDs. An acceptance claim states an observable condition and its judgment method. A story is ready only when the active policy's planning requirements are met and any required readiness gate is valid.</w:t>
      </w:r>
    </w:p>
    <w:p>
      <w:pPr>
        <w:pStyle w:val="Heading2"/>
      </w:pPr>
      <w:r>
        <w:t>5.3 Patch</w:t>
      </w:r>
    </w:p>
    <w:p>
      <w:r>
        <w:t xml:space="preserve">A patch is an ordered list of baseline-relative add, remove, rename, edit, replace, and non-code claim-rendering operations. It declares the baseline weave manifest ID and baseline state root through its context witness. File content is stored by blob hash. All file operations in a land candidate name the same target state root as their baseline; a stale patch must be re-proposed against the new target, not implicitly rebased. The patch identity is its canonical operation list and semantic parents; a local checkout is not part of the identity.</w:t>
      </w:r>
    </w:p>
    <w:p>
      <w:pPr>
        <w:pStyle w:val="Heading2"/>
      </w:pPr>
      <w:r>
        <w:t>5.4 Deterministic file rules</w:t>
      </w:r>
    </w:p>
    <w:p>
      <w:pPr>
        <w:pStyle w:val="ListBullet"/>
      </w:pPr>
      <w:r>
        <w:t xml:space="preserve">Paths are normalized UTF-8 NFC strings, relative to the repository root, slash-separated, and may not contain empty, dot, or dot-dot components, a leading slash, a drive prefix, backslash, colon, quotation mark, angle bracket, pipe, question mark, asterisk, control character, or NUL. Each component may not end in a dot or space. Its ASCII-case-insensitive basename before the first dot may not be CON, PRN, AUX, NUL, COM1 through COM9, or LPT1 through LPT9 on any platform.</w:t>
      </w:r>
    </w:p>
    <w:p>
      <w:pPr>
        <w:pStyle w:val="ListBullet"/>
      </w:pPr>
      <w:r>
        <w:t xml:space="preserve">The repository declares path mode at initialization. In insensitive mode, uniqueness is checked using Unicode 15.1 default case folding followed by NFC; any folded collision is rejected. Case-only renames are rejected in v1 under insensitive mode.</w:t>
      </w:r>
    </w:p>
    <w:p>
      <w:pPr>
        <w:pStyle w:val="ListBullet"/>
      </w:pPr>
      <w:r>
        <w:t xml:space="preserve">V1 supports regular files only. Each materialized file has the single implicit mode regular-file; symlinks, special files, submodules, and executable-bit changes are rejected unless a later schema version models them explicitly.</w:t>
      </w:r>
    </w:p>
    <w:p>
      <w:pPr>
        <w:pStyle w:val="ListBullet"/>
      </w:pPr>
      <w:r>
        <w:t xml:space="preserve">Text edits require valid UTF-8 and one declared line-ending mode, LF or CRLF; mixed line endings are rejected. Binary or generated files use replace rather than line hunks.</w:t>
      </w:r>
    </w:p>
    <w:p>
      <w:pPr>
        <w:pStyle w:val="ListBullet"/>
      </w:pPr>
      <w:r>
        <w:t xml:space="preserve">Hunk indices are zero-based half-open line ranges [start_line, end_line) into the exact baseline bytes decoded as UTF-8 and split while retaining each LF or CRLF terminator; a final unterminated line is one line and an empty file has zero lines. Each hunk carries the SHA-256 of the exact replaced byte slice and replacement bytes. The slice digest must match before application; no fuzzy matching is permitted. Two replacement ranges conflict when they intersect. Insertions at the same boundary, or at a replacement boundary, conflict in v1.</w:t>
      </w:r>
    </w:p>
    <w:p>
      <w:pPr>
        <w:pStyle w:val="ListBullet"/>
      </w:pPr>
      <w:r>
        <w:t xml:space="preserve">Disjoint hunks on one baseline file apply in descending baseline position. Two adds of the same path, two replacements of the same path, an edit of a removed or renamed path, and any overlapping path reservation conflict. A rename reserves both old and new paths. Independent patches are topologically ordered by in-candidate semantic dependencies, with lexicographic patch ID as the tie-break; operation order within a patch is preserved.</w:t>
      </w:r>
    </w:p>
    <w:p>
      <w:pPr>
        <w:pStyle w:val="Heading2"/>
      </w:pPr>
      <w:r>
        <w:t>5.5 Witness</w:t>
      </w:r>
    </w:p>
    <w:p>
      <w:r>
        <w:t>Witnesses are evidence, not decisions. A context witness records the projection, selected claim IDs, source weave manifest and state root, reach capability, and enforcement mechanism. Test and adversarial witnesses record a command plan, outcome, and content-addressed logs. A review witness may reference a structured review claim. An integration witness is defined in section 8.</w:t>
      </w:r>
    </w:p>
    <w:p>
      <w:pPr>
        <w:pStyle w:val="Heading1"/>
      </w:pPr>
      <w:r>
        <w:t>6 Materialization and conflict</w:t>
      </w:r>
    </w:p>
    <w:p>
      <w:r>
        <w:t>skein checkout &lt;weave&gt; writes the files represented by a weave manifest. skein checkout --thread &lt;T&gt; additionally overlays eligible unlanded patches for local work. skein sync compares a working directory to its declared checkout baseline and asserts a patch. Editors and test runners write only disposable checkouts; no change exists in Skein until it is asserted as a claim.</w:t>
      </w:r>
    </w:p>
    <w:p>
      <w:r>
        <w:t xml:space="preserve">Conflict detection is mechanical and language-free. All operations and hunk preconditions are evaluated against the declared target baseline; compatible operations are composed using the deterministic ordering in Appendix C. Structural compatibility only determines whether patches can compose. It never admits a merge by itself. Any compatible composition must still satisfy all applicable constraints and pass the integration plan against the composed state.</w:t>
      </w:r>
    </w:p>
    <w:p>
      <w:pPr>
        <w:pStyle w:val="Heading1"/>
      </w:pPr>
      <w:r>
        <w:t>7 Authorship and policy</w:t>
      </w:r>
    </w:p>
    <w:p>
      <w:r>
        <w:t>Every claim records accountable human, drafting role, and model family/version (empty for directly human-authored bodies). The default policy requires review independence: a review role differs from the patch-author role, and its model family differs from the patch model family. For deep threads, the land gate signer differs from the accountable human.</w:t>
      </w:r>
    </w:p>
    <w:p>
      <w:pPr>
        <w:pStyle w:val="Heading2"/>
      </w:pPr>
      <w:r>
        <w:t>7.1 Policy packs</w:t>
      </w:r>
    </w:p>
    <w:p>
      <w:r>
        <w:t xml:space="preserve">A policy pack is a versioned, content-addressed object whose ID uses the skein.policy.v1 domain. Its authorization is a human-gated land under the previously active policy; a policy cannot authorize itself. It defines claim schemas, required claims and witnesses, parent requirements, review independence, gates, integration command plans, scope scale floors, gate-reuse rules, and the authority and quorum allowed to replace policy. Each land candidate pins the exact policy hash it was evaluated under. Repository genesis binds the initial weave, policy hash, and trusted human credential set through an out-of-band operator ceremony; this is the trust anchor, not an inference from an untrusted clone. A policy update is itself a human-gated land authorized by the currently active policy. A candidate may not be admitted under a different policy from the one it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1728"/>
            <w:shd w:fill="1F4E78"/>
            <w:vAlign w:val="center"/>
          </w:tcPr>
          <w:p>
            <w:r>
              <w:rPr>
                <w:b/>
                <w:color w:val="FFFFFF"/>
                <w:sz w:val="17"/>
              </w:rPr>
              <w:t>Scale</w:t>
            </w:r>
          </w:p>
        </w:tc>
        <w:tc>
          <w:tcPr>
            <w:tcW w:type="dxa" w:w="7704"/>
            <w:shd w:fill="1F4E78"/>
            <w:vAlign w:val="center"/>
          </w:tcPr>
          <w:p>
            <w:r>
              <w:rPr>
                <w:b/>
                <w:color w:val="FFFFFF"/>
                <w:sz w:val="17"/>
              </w:rPr>
              <w:t>Default requirements before land</w:t>
            </w:r>
          </w:p>
        </w:tc>
      </w:tr>
      <w:tr>
        <w:tc>
          <w:tcPr>
            <w:tcW w:type="dxa" w:w="1728"/>
            <w:vAlign w:val="center"/>
          </w:tcPr>
          <w:p>
            <w:pPr>
              <w:spacing w:after="40" w:before="40"/>
            </w:pPr>
            <w:r>
              <w:rPr>
                <w:sz w:val="17"/>
              </w:rPr>
              <w:t>trivial</w:t>
            </w:r>
          </w:p>
        </w:tc>
        <w:tc>
          <w:tcPr>
            <w:tcW w:type="dxa" w:w="7704"/>
            <w:vAlign w:val="center"/>
          </w:tcPr>
          <w:p>
            <w:pPr>
              <w:spacing w:after="40" w:before="40"/>
            </w:pPr>
            <w:r>
              <w:rPr>
                <w:sz w:val="17"/>
              </w:rPr>
              <w:t>Patch, test witness, passing integration witness, land gate.</w:t>
            </w:r>
          </w:p>
        </w:tc>
      </w:tr>
      <w:tr>
        <w:tc>
          <w:tcPr>
            <w:tcW w:type="dxa" w:w="1728"/>
            <w:vAlign w:val="center"/>
            <w:shd w:fill="EDF4F8"/>
          </w:tcPr>
          <w:p>
            <w:pPr>
              <w:spacing w:after="40" w:before="40"/>
            </w:pPr>
            <w:r>
              <w:rPr>
                <w:sz w:val="17"/>
              </w:rPr>
              <w:t>standard</w:t>
            </w:r>
          </w:p>
        </w:tc>
        <w:tc>
          <w:tcPr>
            <w:tcW w:type="dxa" w:w="7704"/>
            <w:vAlign w:val="center"/>
            <w:shd w:fill="EDF4F8"/>
          </w:tcPr>
          <w:p>
            <w:pPr>
              <w:spacing w:after="40" w:before="40"/>
            </w:pPr>
            <w:r>
              <w:rPr>
                <w:sz w:val="17"/>
              </w:rPr>
              <w:t>Story, acceptance, patch, red and green witnesses, adversarial witness, independent review, passing integration witness, land gate.</w:t>
            </w:r>
          </w:p>
        </w:tc>
      </w:tr>
      <w:tr>
        <w:tc>
          <w:tcPr>
            <w:tcW w:type="dxa" w:w="1728"/>
            <w:vAlign w:val="center"/>
          </w:tcPr>
          <w:p>
            <w:pPr>
              <w:spacing w:after="40" w:before="40"/>
            </w:pPr>
            <w:r>
              <w:rPr>
                <w:sz w:val="17"/>
              </w:rPr>
              <w:t>deep</w:t>
            </w:r>
          </w:p>
        </w:tc>
        <w:tc>
          <w:tcPr>
            <w:tcW w:type="dxa" w:w="7704"/>
            <w:vAlign w:val="center"/>
          </w:tcPr>
          <w:p>
            <w:pPr>
              <w:spacing w:after="40" w:before="40"/>
            </w:pPr>
            <w:r>
              <w:rPr>
                <w:sz w:val="17"/>
              </w:rPr>
              <w:t>Standard requirements plus brief or requirement parents, architecture-gated constraints where applicable, readiness gate, and a second human land signer.</w:t>
            </w:r>
          </w:p>
        </w:tc>
      </w:tr>
    </w:tbl>
    <w:p>
      <w:pPr>
        <w:spacing w:after="40"/>
      </w:pPr>
    </w:p>
    <w:p>
      <w:pPr>
        <w:pStyle w:val="Heading1"/>
      </w:pPr>
      <w:r>
        <w:t>8 Landing</w:t>
      </w:r>
    </w:p>
    <w:p>
      <w:r>
        <w:t>Landing is a transaction. It admits a closed set of claims to a target weave or changes nothing. Lands against a weave are serialized by its land queue. The queue validates a candidate, materializes its composed state, runs its integration plan, verifies the gate, writes a land claim, and advances the named weave pointer by compare-and-swap.</w:t>
      </w:r>
    </w:p>
    <w:p>
      <w:pPr>
        <w:pStyle w:val="Heading2"/>
      </w:pPr>
      <w:r>
        <w:t>8.1 Land candidate</w:t>
      </w:r>
    </w:p>
    <w:p>
      <w:r>
        <w:t xml:space="preserve">A LandCandidate is the immutable subject of human approval. Its v1 JSON object has exactly these members: schema_version (integer 1), repository_id (string), target_weave_manifest_id, target_state_root, proposal_claim_ids, active_policy_id, active_policy_hash, constraint_ids, required_review_ids, integration_plan_hash, integration_witness_id, and composed_state_root. Object IDs and roots are 64 lowercase hexadecimal characters. Proposal IDs are in deterministic dependency order; constraint and required-review ID arrays are sorted ascending. candidate_id is derived and is not a member of the hashed object. Its packet is a human-readable rendering of these exact fields, the story, change summary, findings, constraints, and evidence. The candidate ID is SHA-256 over the skein.land-candidate.v1 domain, NUL, and canonical candidate identity bytes. The WebAuthn challenge is the raw 32 candidate-digest bytes encoded as unpadded base64url in the WebAuthn request.</w:t>
      </w:r>
    </w:p>
    <w:p>
      <w:pPr>
        <w:pStyle w:val="Heading2"/>
      </w:pPr>
      <w:r>
        <w:t>8.2 Candidate validity</w:t>
      </w:r>
    </w:p>
    <w:p>
      <w:pPr>
        <w:pStyle w:val="ListBullet"/>
      </w:pPr>
      <w:r>
        <w:t>Every dependency thread has an eligible land in the target weave.</w:t>
      </w:r>
    </w:p>
    <w:p>
      <w:pPr>
        <w:pStyle w:val="ListBullet"/>
      </w:pPr>
      <w:r>
        <w:t>All policy-required claims, parents, witnesses, and reviews are present and valid under the pinned policy.</w:t>
      </w:r>
    </w:p>
    <w:p>
      <w:pPr>
        <w:pStyle w:val="ListBullet"/>
      </w:pPr>
      <w:r>
        <w:t>Every live applicable constraint is parented and every advisory constraint has a current finding.</w:t>
      </w:r>
    </w:p>
    <w:p>
      <w:pPr>
        <w:pStyle w:val="ListBullet"/>
      </w:pPr>
      <w:r>
        <w:t>The proposed operations are conflict-free against the target state and within the candidate.</w:t>
      </w:r>
    </w:p>
    <w:p>
      <w:pPr>
        <w:pStyle w:val="ListBullet"/>
      </w:pPr>
      <w:r>
        <w:t>The integration witness names the candidate, exact target state root, exact composed state root, and exact integration plan hash, and it passes.</w:t>
      </w:r>
    </w:p>
    <w:p>
      <w:pPr>
        <w:pStyle w:val="ListBullet"/>
      </w:pPr>
      <w:r>
        <w:t>A valid human gate signs this exact candidate hash using a credential valid under repository policy.</w:t>
      </w:r>
    </w:p>
    <w:p>
      <w:pPr>
        <w:pStyle w:val="Heading2"/>
      </w:pPr>
      <w:r>
        <w:t>8.3 Staleness and gate reuse</w:t>
      </w:r>
    </w:p>
    <w:p>
      <w:r>
        <w:t xml:space="preserve">By default, any target weave advance, policy change, proposal change, applicable-constraint change, review change, integration-plan change, or failed rerun expires a candidate. The queue builds a new candidate, reruns integration, and requires a new gate. Gate reuse is prohibited unless the pinned policy specifies a machine-checkable equivalence rule and a complete declared-input set; undeclared input access, an unavailable input digest, or an unverified equivalence result fails closed. Reuse never changes the candidate hash the human signed: the land records the signed candidate and the separately verified final state, and never claims the human viewed a state they did not approve.</w:t>
      </w:r>
    </w:p>
    <w:p>
      <w:pPr>
        <w:pStyle w:val="Heading2"/>
      </w:pPr>
      <w:r>
        <w:t>8.4 Integration witness</w:t>
      </w:r>
    </w:p>
    <w:p>
      <w:r>
        <w:t>An integration witness records candidate ID; target and composed state roots; runner image digest; toolchain fingerprint; command-plan hash; allowed environment hash; network policy; declared inputs and outputs; exit status; timestamps; and separate stdout and stderr blob IDs. Integration executes untrusted code in an isolated runner. Network access is disabled by default. Secrets are unavailable unless a policy declares their injection and identity. Retry, quarantine, and flaky-result handling belong to policy and are recorded in the witness.</w:t>
      </w:r>
    </w:p>
    <w:p>
      <w:pPr>
        <w:pStyle w:val="Heading1"/>
      </w:pPr>
      <w:r>
        <w:t>9 Agent protocol</w:t>
      </w:r>
    </w:p>
    <w:p>
      <w:r>
        <w:t>The supported interface is open-thread, assert, project, witness, sync, propose-land, gate, land, port, query, and checkout. An implementation agent is offered project as its default read. It may not discover context by scanning the object store unless its granted reach explicitly permits that operation.</w:t>
      </w:r>
    </w:p>
    <w:p>
      <w:pPr>
        <w:pStyle w:val="Heading2"/>
      </w:pPr>
      <w:r>
        <w:t>9.1 Projection reach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shd w:fill="1F4E78"/>
            <w:vAlign w:val="center"/>
          </w:tcPr>
          <w:p>
            <w:r>
              <w:rPr>
                <w:b/>
                <w:color w:val="FFFFFF"/>
                <w:sz w:val="17"/>
              </w:rPr>
              <w:t>Reach</w:t>
            </w:r>
          </w:p>
        </w:tc>
        <w:tc>
          <w:tcPr>
            <w:tcW w:type="dxa" w:w="7200"/>
            <w:shd w:fill="1F4E78"/>
            <w:vAlign w:val="center"/>
          </w:tcPr>
          <w:p>
            <w:r>
              <w:rPr>
                <w:b/>
                <w:color w:val="FFFFFF"/>
                <w:sz w:val="17"/>
              </w:rPr>
              <w:t>Capability</w:t>
            </w:r>
          </w:p>
        </w:tc>
      </w:tr>
      <w:tr>
        <w:tc>
          <w:tcPr>
            <w:tcW w:type="dxa" w:w="2232"/>
            <w:vAlign w:val="center"/>
          </w:tcPr>
          <w:p>
            <w:pPr>
              <w:spacing w:after="40" w:before="40"/>
            </w:pPr>
            <w:r>
              <w:rPr>
                <w:sz w:val="17"/>
              </w:rPr>
              <w:t>projection-only</w:t>
            </w:r>
          </w:p>
        </w:tc>
        <w:tc>
          <w:tcPr>
            <w:tcW w:type="dxa" w:w="7200"/>
            <w:vAlign w:val="center"/>
          </w:tcPr>
          <w:p>
            <w:pPr>
              <w:spacing w:after="40" w:before="40"/>
            </w:pPr>
            <w:r>
              <w:rPr>
                <w:sz w:val="17"/>
              </w:rPr>
              <w:t>The runtime receives only the projection bundle and permitted blobs. It has no ambient checkout, repository API, network, or undeclared tools.</w:t>
            </w:r>
          </w:p>
        </w:tc>
      </w:tr>
      <w:tr>
        <w:tc>
          <w:tcPr>
            <w:tcW w:type="dxa" w:w="2232"/>
            <w:vAlign w:val="center"/>
            <w:shd w:fill="EDF4F8"/>
          </w:tcPr>
          <w:p>
            <w:pPr>
              <w:spacing w:after="40" w:before="40"/>
            </w:pPr>
            <w:r>
              <w:rPr>
                <w:sz w:val="17"/>
              </w:rPr>
              <w:t>checkout-readable</w:t>
            </w:r>
          </w:p>
        </w:tc>
        <w:tc>
          <w:tcPr>
            <w:tcW w:type="dxa" w:w="7200"/>
            <w:vAlign w:val="center"/>
            <w:shd w:fill="EDF4F8"/>
          </w:tcPr>
          <w:p>
            <w:pPr>
              <w:spacing w:after="40" w:before="40"/>
            </w:pPr>
            <w:r>
              <w:rPr>
                <w:sz w:val="17"/>
              </w:rPr>
              <w:t>The runtime may read a checkout at a fixed weave manifest, but cannot enumerate historical claims outside its projection.</w:t>
            </w:r>
          </w:p>
        </w:tc>
      </w:tr>
      <w:tr>
        <w:tc>
          <w:tcPr>
            <w:tcW w:type="dxa" w:w="2232"/>
            <w:vAlign w:val="center"/>
          </w:tcPr>
          <w:p>
            <w:pPr>
              <w:spacing w:after="40" w:before="40"/>
            </w:pPr>
            <w:r>
              <w:rPr>
                <w:sz w:val="17"/>
              </w:rPr>
              <w:t>tools</w:t>
            </w:r>
          </w:p>
        </w:tc>
        <w:tc>
          <w:tcPr>
            <w:tcW w:type="dxa" w:w="7200"/>
            <w:vAlign w:val="center"/>
          </w:tcPr>
          <w:p>
            <w:pPr>
              <w:spacing w:after="40" w:before="40"/>
            </w:pPr>
            <w:r>
              <w:rPr>
                <w:sz w:val="17"/>
              </w:rPr>
              <w:t>The runtime may invoke a declared tool allowlist. Each tool identifier, version, permission set, and invocation is attached to the witness.</w:t>
            </w:r>
          </w:p>
        </w:tc>
      </w:tr>
    </w:tbl>
    <w:p>
      <w:pPr>
        <w:spacing w:after="40"/>
      </w:pPr>
    </w:p>
    <w:p>
      <w:r>
        <w:t>A context witness records what was delivered and how reach was enforced, for example sandbox version, filesystem mode, network mode, and tool-allowlist hash. This is evidence of an enforced delivery boundary, not proof of what an LLM attended to internally.</w:t>
      </w:r>
    </w:p>
    <w:p>
      <w:pPr>
        <w:pStyle w:val="Heading2"/>
      </w:pPr>
      <w:r>
        <w:t>9.2 Review</w:t>
      </w:r>
    </w:p>
    <w:p>
      <w:pPr>
        <w:pStyle w:val="BodyText"/>
      </w:pPr>
      <w:r>
        <w:t xml:space="preserve">Reach is an enforceable runtime capability, not a claim about model attention. Every project call records the exact projection bundle digest, selected claim and blob IDs, source manifest and state root, runtime profile ID/version, sandbox configuration digest, allowed tools, and observed network/filesystem policy. A reach label is valid only when its named profile has passed the implementation's platform conformance checks; otherwise the witness must say unverified and policy must not treat it as projection-only.</w:t>
      </w:r>
    </w:p>
    <w:p>
      <w:pPr>
        <w:pStyle w:val="BodyText"/>
      </w:pPr>
      <w:r>
        <w:t xml:space="preserve">Projection-only execution fails closed: the agent process receives only the declared bundle and permitted blobs, has no ambient checkout or repository credentials, cannot enumerate the object store, and has no network or undeclared tools. The runtime must attest or independently record enforcement at process launch and completion. The witness proves the configured boundary and observed enforcement evidence, not what the model internally attended to. Platform substrate and assurance profile remain deployment choices and must be named in the witness.</w:t>
      </w:r>
    </w:p>
    <w:p>
      <w:r>
        <w:t>A review names its subject: a patch or a land candidate; the reviewed state root; the policy hash; reviewer role and model; and structured findings. Each finding identifies its applicable constraint where relevant, severity, disposition, rationale blob, and evidence. A later patch or candidate change makes a review stale unless a policy-defined equivalence rule says its reviewed scope is unaffected.</w:t>
      </w:r>
    </w:p>
    <w:p>
      <w:pPr>
        <w:pStyle w:val="Heading2"/>
      </w:pPr>
      <w:r>
        <w:t>9.3 Why query</w:t>
      </w:r>
    </w:p>
    <w:p>
      <w:r>
        <w:t>A path-level why query reconstructs the weave, identifies the last land and patch operation that changed the requested path, then walks its semantic parents: story, acceptance, constraints, context witness, reviews, gates, integration witness, and later verdicts or retracts. Line-range attribution is an optional extension until the patch model provides stable range provenance. Indexes may accelerate queries but must be rebuildable from claims and manifests.</w:t>
      </w:r>
    </w:p>
    <w:p>
      <w:pPr>
        <w:pStyle w:val="Heading1"/>
      </w:pPr>
      <w:r>
        <w:t>10 Credentials and gates</w:t>
      </w:r>
    </w:p>
    <w:p>
      <w:r>
        <w:t xml:space="preserve">A gate is authored by a registered human credential and contains gate name, candidate ID, and a WebAuthn assertion. The verifier checks the relying-party ID and allowed origin, signature, challenge equality, user-presence and user-verification flags, assertion structure, and credential status and authorization under the active policy at land admission. Revocation effective before admission invalidates the gate. The challenge is the candidate digest defined in 8.1; a mismatch is rejected. Credential registration and policy-authority changes require authorization under the currently active policy and are recorded as gated key/policy claims. Repository genesis establishes trust out of band. Recovery credentials must be held by distinct human custodians and inaccessible to agents; the exact recovery quorum is repository policy and is surfaced in the signing packet. A serious repository should begin with at least two independent recovery credentials.</w:t>
      </w:r>
    </w:p>
    <w:p>
      <w:r>
        <w:t xml:space="preserve">Skein does not claim to eliminate every social or endpoint compromise. Under its credential, relying-party, trusted-client, and authenticator assumptions, an agent that lacks an authorized human authenticator and successful user verification cannot create a valid gate for a new candidate. The gate client must display the target weave and state root, policy hash, proposal summary, composed state root, required reviews, integration outcome, and any gate-reuse effect before requesting user verification. Compromised endpoints, deceptive packet presentation, malicious enrollment, and a compromised service remain separate threats that deployments must mitigate.</w:t>
      </w:r>
    </w:p>
    <w:p>
      <w:pPr>
        <w:pStyle w:val="Heading1"/>
      </w:pPr>
      <w:r>
        <w:t>11 Store and transport</w:t>
      </w:r>
    </w:p>
    <w:p>
      <w:r>
        <w:t>Sync between clones transfers missing content-addressed objects and compares named weave pointers. There is no rebase. A stale local land is re-proposed against the current target weave and evaluated as a new candidate. Partial clone is projection, not sparse checkout. A blob may be redacted only through a human-signed redact claim; its tombstone preserves the original blob ID, reason, and auditable absence.</w:t>
      </w:r>
    </w:p>
    <w:p>
      <w:pPr>
        <w:pStyle w:val="Heading2"/>
      </w:pPr>
      <w:r>
        <w:t>11.1 Git export</w:t>
      </w:r>
    </w:p>
    <w:p>
      <w:r>
        <w:t>skein export git &lt;weave&gt; produces a one-way read-only Git mirror for CI, deployment, and review tools. The mirror contains one commit per land in manifest order, includes the land and candidate IDs in trailers, and is labeled a rendering of Skein state. Commits pushed to the mirror cannot land work in Skein.</w:t>
      </w:r>
    </w:p>
    <w:p>
      <w:pPr>
        <w:pStyle w:val="Heading1"/>
      </w:pPr>
      <w:r>
        <w:t>12 Human surfaces</w:t>
      </w:r>
    </w:p>
    <w:p>
      <w:pPr>
        <w:pStyle w:val="ListBullet"/>
      </w:pPr>
      <w:r>
        <w:t>Thread board: derived status, scale, dependencies, missing evidence, accountable human, and candidate freshness.</w:t>
      </w:r>
    </w:p>
    <w:p>
      <w:pPr>
        <w:pStyle w:val="ListBullet"/>
      </w:pPr>
      <w:r>
        <w:t>Packet: the exact candidate to be signed, including target state, policy, change summary, reviews, constraints, integration evidence, and the effect of any gate-reuse policy.</w:t>
      </w:r>
    </w:p>
    <w:p>
      <w:pPr>
        <w:pStyle w:val="ListBullet"/>
      </w:pPr>
      <w:r>
        <w:t>Why: a path-level chain from visible state back through land, patch, planning claims, evidence, approval, and later retractions.</w:t>
      </w:r>
    </w:p>
    <w:p>
      <w:pPr>
        <w:pStyle w:val="ListBullet"/>
      </w:pPr>
      <w:r>
        <w:t>Diff: a useful rendering for familiar review tooling, never an alternative authority for admission.</w:t>
      </w:r>
    </w:p>
    <w:p>
      <w:pPr>
        <w:pStyle w:val="Heading1"/>
      </w:pPr>
      <w:r>
        <w:t>13 Conformance</w:t>
      </w:r>
    </w:p>
    <w:p>
      <w:pPr>
        <w:pStyle w:val="ListBullet"/>
      </w:pPr>
      <w:r>
        <w:t>Implement Skein Canonical JSON v1 and publish passing normative test vectors for every hashed object kind.</w:t>
      </w:r>
    </w:p>
    <w:p>
      <w:pPr>
        <w:pStyle w:val="ListBullet"/>
      </w:pPr>
      <w:r>
        <w:t xml:space="preserve">Compute object IDs from the specified identity projection; reject duplicate normalized keys, out-of-range integers, malformed UTF-8, and noncanonical encodings before admission.</w:t>
      </w:r>
    </w:p>
    <w:p>
      <w:pPr>
        <w:pStyle w:val="ListBullet"/>
      </w:pPr>
      <w:r>
        <w:t xml:space="preserve">Compute the state root from the exact canonical state payload in Appendix C and reject path aliases or case-fold collisions under the repository path mode.</w:t>
      </w:r>
    </w:p>
    <w:p>
      <w:pPr>
        <w:pStyle w:val="ListBullet"/>
      </w:pPr>
      <w:r>
        <w:t xml:space="preserve">Apply every patch against its declared baseline with exact hunk preconditions and deterministic operation ordering; reject stale baselines and all specified boundary conflicts.</w:t>
      </w:r>
    </w:p>
    <w:p>
      <w:pPr>
        <w:pStyle w:val="ListBullet"/>
      </w:pPr>
      <w:r>
        <w:t xml:space="preserve">Verify a human gate over the exact candidate digest and reject missing user verification, wrong relying-party/origin, unauthorized or revoked credentials, and any candidate mutation.</w:t>
      </w:r>
    </w:p>
    <w:p>
      <w:pPr>
        <w:pStyle w:val="ListBullet"/>
      </w:pPr>
      <w:r>
        <w:t xml:space="preserve">Mark projection-only reach unverified unless the named runtime profile reports its enforceable boundary; never treat a self-reported capability label as enforcement evidence.</w:t>
      </w:r>
    </w:p>
    <w:p>
      <w:pPr>
        <w:pStyle w:val="ListBullet"/>
      </w:pPr>
      <w:r>
        <w:t>Refuse mutation of stored claims and refuse malformed claims, patches, policy packs, and witnesses.</w:t>
      </w:r>
    </w:p>
    <w:p>
      <w:pPr>
        <w:pStyle w:val="ListBullet"/>
      </w:pPr>
      <w:r>
        <w:t>Reconstruct the same state root from a weave manifest and ordered lands.</w:t>
      </w:r>
    </w:p>
    <w:p>
      <w:pPr>
        <w:pStyle w:val="ListBullet"/>
      </w:pPr>
      <w:r>
        <w:t>Implement the v1 path and hunk conflict rules and never admit a merge on structural compatibility alone.</w:t>
      </w:r>
    </w:p>
    <w:p>
      <w:pPr>
        <w:pStyle w:val="ListBullet"/>
      </w:pPr>
      <w:r>
        <w:t>Refuse a gate that does not verify over the exact candidate hash against an authorized human credential.</w:t>
      </w:r>
    </w:p>
    <w:p>
      <w:pPr>
        <w:pStyle w:val="ListBullet"/>
      </w:pPr>
      <w:r>
        <w:t>Refuse land when its pinned policy is unsatisfied, its candidate is stale, or its integration witness does not pass for the exact composed state.</w:t>
      </w:r>
    </w:p>
    <w:p>
      <w:pPr>
        <w:pStyle w:val="ListBullet"/>
      </w:pPr>
      <w:r>
        <w:t>Advance a weave only through the serialized land queue and compare-and-swap on its prior manifest ID.</w:t>
      </w:r>
    </w:p>
    <w:p>
      <w:pPr>
        <w:pStyle w:val="ListBullet"/>
      </w:pPr>
      <w:r>
        <w:t>Record a context witness for every project call, including selected claim IDs, reach, and enforcement details.</w:t>
      </w:r>
    </w:p>
    <w:p>
      <w:pPr>
        <w:pStyle w:val="ListBullet"/>
      </w:pPr>
      <w:r>
        <w:t>Answer the path-level why query from rebuildable graph and manifest state.</w:t>
      </w:r>
    </w:p>
    <w:p>
      <w:pPr>
        <w:pStyle w:val="Heading1"/>
      </w:pPr>
      <w:r>
        <w:t>14 Delivery sequence</w:t>
      </w:r>
    </w:p>
    <w:p>
      <w:pPr>
        <w:pStyle w:val="BodyText"/>
      </w:pPr>
      <w:r>
        <w:t xml:space="preserve">Phase 1 is complete only when a fresh local repository can execute the acceptance path in Appendix C: create a story and patch; project only selected claims; record context evidence; deterministically compose and materialize; run a fixed integration plan; construct and sign the exact candidate with a clearly marked simulated gate; reject stale and altered candidates; atomically land by compare-and-swap; reopen the repository; and reproduce the same state root and path-level why result. This phase validates mechanics, not production authentication or sandbox 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448"/>
            <w:shd w:fill="1F4E78"/>
            <w:vAlign w:val="center"/>
          </w:tcPr>
          <w:p>
            <w:r>
              <w:rPr>
                <w:b/>
                <w:color w:val="FFFFFF"/>
                <w:sz w:val="17"/>
              </w:rPr>
              <w:t>Phase</w:t>
            </w:r>
          </w:p>
        </w:tc>
        <w:tc>
          <w:tcPr>
            <w:tcW w:type="dxa" w:w="6984"/>
            <w:shd w:fill="1F4E78"/>
            <w:vAlign w:val="center"/>
          </w:tcPr>
          <w:p>
            <w:r>
              <w:rPr>
                <w:b/>
                <w:color w:val="FFFFFF"/>
                <w:sz w:val="17"/>
              </w:rPr>
              <w:t>Scope</w:t>
            </w:r>
          </w:p>
        </w:tc>
      </w:tr>
      <w:tr>
        <w:tc>
          <w:tcPr>
            <w:tcW w:type="dxa" w:w="2448"/>
            <w:vAlign w:val="center"/>
          </w:tcPr>
          <w:p>
            <w:pPr>
              <w:spacing w:after="40" w:before="40"/>
            </w:pPr>
            <w:r>
              <w:rPr>
                <w:sz w:val="17"/>
              </w:rPr>
              <w:t>1 Deterministic local kernel</w:t>
            </w:r>
          </w:p>
        </w:tc>
        <w:tc>
          <w:tcPr>
            <w:tcW w:type="dxa" w:w="6984"/>
            <w:vAlign w:val="center"/>
          </w:tcPr>
          <w:p>
            <w:pPr>
              <w:spacing w:after="40" w:before="40"/>
            </w:pPr>
            <w:r>
              <w:rPr>
                <w:sz w:val="17"/>
              </w:rPr>
              <w:t>Canonical claims and blobs, one local weave, deterministic checkout and patch composition, fixed integration plan, simulated gate using the final candidate schema, and conformance tests.</w:t>
            </w:r>
          </w:p>
        </w:tc>
      </w:tr>
      <w:tr>
        <w:tc>
          <w:tcPr>
            <w:tcW w:type="dxa" w:w="2448"/>
            <w:vAlign w:val="center"/>
            <w:shd w:fill="EDF4F8"/>
          </w:tcPr>
          <w:p>
            <w:pPr>
              <w:spacing w:after="40" w:before="40"/>
            </w:pPr>
            <w:r>
              <w:rPr>
                <w:sz w:val="17"/>
              </w:rPr>
              <w:t>2 Trustworthy admission</w:t>
            </w:r>
          </w:p>
        </w:tc>
        <w:tc>
          <w:tcPr>
            <w:tcW w:type="dxa" w:w="6984"/>
            <w:vAlign w:val="center"/>
            <w:shd w:fill="EDF4F8"/>
          </w:tcPr>
          <w:p>
            <w:pPr>
              <w:spacing w:after="40" w:before="40"/>
            </w:pPr>
            <w:r>
              <w:rPr>
                <w:sz w:val="17"/>
              </w:rPr>
              <w:t>Signed policy packs, WebAuthn gates, structured independent reviews, scoped constraints, sandboxed integration, packet view, board, and Git export.</w:t>
            </w:r>
          </w:p>
        </w:tc>
      </w:tr>
      <w:tr>
        <w:tc>
          <w:tcPr>
            <w:tcW w:type="dxa" w:w="2448"/>
            <w:vAlign w:val="center"/>
          </w:tcPr>
          <w:p>
            <w:pPr>
              <w:spacing w:after="40" w:before="40"/>
            </w:pPr>
            <w:r>
              <w:rPr>
                <w:sz w:val="17"/>
              </w:rPr>
              <w:t>3 Distribution and extensions</w:t>
            </w:r>
          </w:p>
        </w:tc>
        <w:tc>
          <w:tcPr>
            <w:tcW w:type="dxa" w:w="6984"/>
            <w:vAlign w:val="center"/>
          </w:tcPr>
          <w:p>
            <w:pPr>
              <w:spacing w:after="40" w:before="40"/>
            </w:pPr>
            <w:r>
              <w:rPr>
                <w:sz w:val="17"/>
              </w:rPr>
              <w:t>Remote sync, multi-user service, recovery workflows, enforced projection sandboxes, retrieval, and language adapters where measured evidence justifies them.</w:t>
            </w:r>
          </w:p>
        </w:tc>
      </w:tr>
    </w:tbl>
    <w:p>
      <w:pPr>
        <w:spacing w:after="40"/>
      </w:pPr>
    </w:p>
    <w:p>
      <w:pPr>
        <w:pStyle w:val="Heading1"/>
      </w:pPr>
      <w:r>
        <w:t>15 Open questions</w:t>
      </w:r>
    </w:p>
    <w:p>
      <w:pPr>
        <w:pStyle w:val="ListBullet"/>
      </w:pPr>
      <w:r>
        <w:t xml:space="preserve">Which future schema version, if any, should introduce hash agility without weakening the fixed SHA-256 v1 identity contract?</w:t>
      </w:r>
    </w:p>
    <w:p>
      <w:pPr>
        <w:pStyle w:val="ListBullet"/>
      </w:pPr>
      <w:r>
        <w:t xml:space="preserve">Which file, environment, and external-service inputs can a policy safely declare for gate reuse, and how should undeclared reads be detected?</w:t>
      </w:r>
    </w:p>
    <w:p>
      <w:pPr>
        <w:pStyle w:val="ListBullet"/>
      </w:pPr>
      <w:r>
        <w:t>Which sandbox substrate can enforce projection-only reach across supported platforms?</w:t>
      </w:r>
    </w:p>
    <w:p>
      <w:pPr>
        <w:pStyle w:val="ListBullet"/>
      </w:pPr>
      <w:r>
        <w:t>What recovery threshold is safe and usable for small teams without creating an agent-reachable path?</w:t>
      </w:r>
    </w:p>
    <w:p>
      <w:pPr>
        <w:pStyle w:val="ListBullet"/>
      </w:pPr>
      <w:r>
        <w:t>How should an existing repository be imported so that its day-one state root and initial constraints are explicit?</w:t>
      </w:r>
    </w:p>
    <w:p>
      <w:pPr>
        <w:pStyle w:val="ListBullet"/>
      </w:pPr>
      <w:r>
        <w:t>When do integration witnesses fail often enough on semantic conflicts to justify syntactic or compiler-backed adapters?</w:t>
      </w:r>
    </w:p>
    <w:p>
      <w:pPr>
        <w:pStyle w:val="Heading1"/>
      </w:pPr>
      <w:r>
        <w:t>16 Summary</w:t>
      </w:r>
    </w:p>
    <w:p>
      <w:r>
        <w:t xml:space="preserve">Skein versions decisions and derives code state from accepted decisions. Draft 0.4 fixes the byte-level identity, state-root, baseline-relative composition, and human-gate challenge contracts needed for interoperable v1 implementations. Threads organize work without being branches. Policy specifies the evidence and approval required for each scale of work. The core stays language-agnostic; production trust still depends on a correctly bootstrapped policy authority, trusted gate client, and enforced execution boundaries.</w:t>
      </w:r>
    </w:p>
    <w:p>
      <w:pPr>
        <w:pStyle w:val="Heading1"/>
      </w:pPr>
      <w:r>
        <w:t>Appendix A Extensions non normative</w:t>
      </w:r>
    </w:p>
    <w:p>
      <w:pPr>
        <w:pStyle w:val="Heading2"/>
      </w:pPr>
      <w:r>
        <w:t>A.1 Language adapters</w:t>
      </w:r>
    </w:p>
    <w:p>
      <w:r>
        <w:t>A language adapter is an out-of-process plugin that may parse a file into stable symbols, render symbol operations losslessly, reverse-parse edits made by sync, and resolve references. It may offer symbol-scoped constraints, signature-aware conflicts, and symbol-level why queries. An adapter ID and version must be pinned wherever it affects a resulting state or judgment. Conformance never requires one.</w:t>
      </w:r>
    </w:p>
    <w:p>
      <w:pPr>
        <w:pStyle w:val="Heading1"/>
      </w:pPr>
      <w:r>
        <w:t>Appendix B Normative test vectors</w:t>
      </w:r>
    </w:p>
    <w:p>
      <w:r>
        <w:t xml:space="preserve">The published specification repository SHALL ship machine-readable, executable golden vectors with canonical input bytes, expected identity preimages, expected digests/state roots, and expected accept/reject outcomes. Vectors cover canonical JSON and every hashed object kind; path normalization and case collisions; empty and populated state roots; hunk boundaries, line endings, rename/removal conflicts; weave replay; candidate staleness; WebAuthn challenge verification inputs; policy replacement; and path-level why reconstruction. A conforming implementation must pass the applicable vectors before exchanging objects with another implementation.</w:t>
      </w:r>
    </w:p>
    <w:p>
      <w:pPr>
        <w:pStyle w:val="BodyText"/>
      </w:pPr>
      <w:r>
        <w:t xml:space="preserve">Each vector fixture is versioned and includes expected canonical UTF-8 bytes (hex where needed), domain-separated preimage, digest, and result. Negative fixtures identify the exact rule and expected error class. Implementations run the same fixtures without network access; output must match byte-for-byte. Appendix C provides the fixed primitive vectors and the acceptance-path contract; object-schema-specific fixtures are published alongside the schemas.</w:t>
      </w:r>
    </w:p>
    <w:p>
      <w:pPr>
        <w:pStyle w:val="Heading1"/>
      </w:pPr>
      <w:r>
        <w:t xml:space="preserve">Appendix C Normative v1 algorithms and acceptance criteria</w:t>
      </w:r>
    </w:p>
    <w:p>
      <w:pPr>
        <w:pStyle w:val="Heading2"/>
      </w:pPr>
      <w:r>
        <w:t xml:space="preserve">C.1 Canonical identity projection</w:t>
      </w:r>
    </w:p>
    <w:p>
      <w:pPr>
        <w:pStyle w:val="BodyText"/>
      </w:pPr>
      <w:r>
        <w:t xml:space="preserve">For each structured object, validate its schema first, remove the derived id field, canonicalize the remaining object, and hash ASCII(domain label) || 0x00 || canonical UTF-8 bytes with SHA-256. For claims only, remove created before canonicalization. Do not remove timestamps, IDs of referenced objects, or any other field from witnesses, policies, candidates, manifests, or claims. Encode the resulting digest as 64 lowercase hexadecimal characters. Blob identity hashes the raw blob bytes with the skein.blob.v1 domain; blob bytes are never JSON-canonicalized.</w:t>
      </w:r>
    </w:p>
    <w:p>
      <w:pPr>
        <w:pStyle w:val="BodyText"/>
      </w:pPr>
      <w:r>
        <w:t xml:space="preserve">Canonical strings and keys are NFC-normalized before duplicate-key detection and serialization. Object keys sort by Unicode code point sequence; arrays retain schema-defined order. Escape quotation marks, reverse soliduses, and control bytes according to the canonical JSON rules in 4.1; emit all other scalar values as UTF-8. Reject invalid UTF-8 or surrogates rather than silently replacing them.</w:t>
      </w:r>
    </w:p>
    <w:p>
      <w:pPr>
        <w:pStyle w:val="Heading2"/>
      </w:pPr>
      <w:r>
        <w:t xml:space="preserve">C.2 State-root construction</w:t>
      </w:r>
    </w:p>
    <w:p>
      <w:pPr>
        <w:pStyle w:val="BodyText"/>
      </w:pPr>
      <w:r>
        <w:t xml:space="preserve">The v1 state payload is exactly an object with schema_version: 1, path_mode: "sensitive" or "insensitive", and entries: an array of {path, blob_id} objects. Entries are sorted by normalized path in Unicode code-point order. Paths are NFC UTF-8 relative paths; each blob_id is the lowercase hexadecimal blob digest. Empty directories and file permissions are not represented. An empty repository therefore has entries: []. The state root is SHA-256 over the skein.state.v1 domain, NUL, and canonical payload bytes. Any duplicate path identity under the selected path mode rejects the state.</w:t>
      </w:r>
    </w:p>
    <w:p>
      <w:pPr>
        <w:pStyle w:val="BodyText"/>
      </w:pPr>
      <w:r>
        <w:t xml:space="preserve">Materialization verifies every referenced blob digest before writing and creates only regular files with exact blob bytes. Checkout must not follow repository paths outside its root; path validation occurs before any filesystem operation. A state-root match is a comparison of the complete canonical payload digest, not a comparison of a checkout timestamp or directory metadata.</w:t>
      </w:r>
    </w:p>
    <w:p>
      <w:pPr>
        <w:pStyle w:val="Heading2"/>
      </w:pPr>
      <w:r>
        <w:t xml:space="preserve">C.3 Baseline-relative patch composition</w:t>
      </w:r>
    </w:p>
    <w:p>
      <w:pPr>
        <w:pStyle w:val="BodyText"/>
      </w:pPr>
      <w:r>
        <w:t xml:space="preserve">Every candidate patch names the candidate target state root as its baseline. Proposal patches are topologically ordered by semantic dependency among the candidate proposals; ready nodes are selected by ascending patch ID. Operations within each patch retain their declared array order. All path existence checks, rename reservations, and hunk indices refer to the common baseline. At most one add/remove/replace/rename may reserve a given path; edits may coexist only on the same baseline file with pairwise nonconflicting hunks. An edit cannot target a path touched by another non-edit operation.</w:t>
      </w:r>
    </w:p>
    <w:p>
      <w:pPr>
        <w:pStyle w:val="BodyText"/>
      </w:pPr>
      <w:r>
        <w:t xml:space="preserve">For an edit, split baseline bytes into lines retaining line terminators. Validate each hunk's start and end bounds and expected digest of the exact concatenated old-line byte slice; the hunk digest is un-domain-separated SHA-256 rendered as lowercase hexadecimal. Apply all accepted hunks in descending start-line order; ties are rejected as conflicts. Replacement bytes must be valid UTF-8 and conform to the declared line-ending mode. Validate the resulting complete file before hashing it as a blob. No three-way merge, fuzzy context search, implicit rebase, or platform newline conversion is permitted.</w:t>
      </w:r>
    </w:p>
    <w:p>
      <w:pPr>
        <w:pStyle w:val="BodyText"/>
      </w:pPr>
      <w:r>
        <w:t xml:space="preserve">A candidate is stale if its target manifest or state root differs from the current named weave pointer at queue admission. The queue serializes land evaluation and performs compare-and-swap against the exact prior manifest ID. If any candidate input changes before the swap, admission aborts without changing the weave; a newly composed candidate and integration run are required.</w:t>
      </w:r>
    </w:p>
    <w:p>
      <w:pPr>
        <w:pStyle w:val="Heading2"/>
      </w:pPr>
      <w:r>
        <w:t xml:space="preserve">C.4 Candidate and gate verification</w:t>
      </w:r>
    </w:p>
    <w:p>
      <w:pPr>
        <w:pStyle w:val="BodyText"/>
      </w:pPr>
      <w:r>
        <w:t xml:space="preserve">Canonical candidate bytes contain the fields listed in 8.1. Proposal IDs are ordered by the dependency rule in C.3; constraint and review ID arrays are sorted by ascending ID. Candidate ID is SHA-256(ASCII("skein.land-candidate.v1") || 0x00 || candidate bytes). The gate challenge is the 32 digest bytes, represented as unpadded base64url only at the WebAuthn JSON boundary. The verifier compares decoded challenge bytes in constant time and binds the accepted assertion to the candidate ID, repository, named gate, credential, and policy authority active at acceptance.</w:t>
      </w:r>
    </w:p>
    <w:p>
      <w:pPr>
        <w:pStyle w:val="BodyText"/>
      </w:pPr>
      <w:r>
        <w:t xml:space="preserve">A trusted signing client displays the candidate packet fields before initiating user verification. The assertion alone cannot prove that a compromised display showed an honest packet; deployments must protect and identify the signing client. Simulated gates are permitted only in explicitly non-production conformance runs and must be rejected by production policy.</w:t>
      </w:r>
    </w:p>
    <w:p>
      <w:pPr>
        <w:pStyle w:val="Heading2"/>
      </w:pPr>
      <w:r>
        <w:t xml:space="preserve">C.5 Projection-reach evidence</w:t>
      </w:r>
    </w:p>
    <w:p>
      <w:pPr>
        <w:pStyle w:val="BodyText"/>
      </w:pPr>
      <w:r>
        <w:t xml:space="preserve">Runtime profiles are versioned, platform-specific conformance contracts. A profile states how process filesystem access, repository credentials, network egress, and tool invocation are constrained and measured. At project start the runtime records the profile and configuration digest; at completion it records enforcement outcomes. Missing, failed, or unverifiable enforcement yields reach=unverified, never projection-only. A repository policy may require a named passing profile before accepting context witnesses or land candidates.</w:t>
      </w:r>
    </w:p>
    <w:p>
      <w:pPr>
        <w:pStyle w:val="Heading2"/>
      </w:pPr>
      <w:r>
        <w:t xml:space="preserve">C.6 Phase 1 acceptance path</w:t>
      </w:r>
    </w:p>
    <w:p>
      <w:pPr>
        <w:pStyle w:val="BodyText"/>
      </w:pPr>
      <w:r>
        <w:t xml:space="preserve">A clean implementation passes an automated local scenario that initializes a repository and pinned policy; creates a story, acceptance claim, patch, and context witness; projects an allowlisted bundle; materializes and composes the patch; runs a fixed deterministic integration command; creates a candidate and simulated gate; and lands by serialized compare-and-swap. The test then reopens the object store and asserts identical manifest replay, state root, candidate verification inputs, and path-level why chain. Separate negative cases mutate one candidate field, change the target weave, alter a hunk precondition, introduce a boundary conflict, remove user-verification evidence, and revoke the credential; each must be rejected without advancing the weave.</w:t>
      </w:r>
    </w:p>
    <w:p>
      <w:pPr>
        <w:pStyle w:val="BodyText"/>
      </w:pPr>
      <w:r>
        <w:t xml:space="preserve">Passing this local path is necessary but does not establish production security. Production admission additionally requires verified WebAuthn credentials, an authorized trust bootstrap and policy authority, an isolated integration runner, and a passing named reach-enforcement profile.</w:t>
      </w:r>
    </w:p>
    <w:p>
      <w:pPr>
        <w:pStyle w:val="Heading2"/>
      </w:pPr>
      <w:r>
        <w:t xml:space="preserve">C.7 Fixed primitive vectors</w:t>
      </w:r>
    </w:p>
    <w:p>
      <w:pPr>
        <w:pStyle w:val="BodyText"/>
      </w:pPr>
      <w:r>
        <w:t xml:space="preserve">Canonical/domain vector (primitive only; {"a":1} is not a valid claim schema): canonical UTF-8 bytes are 7b2261223a317d; preimage is ASCII skein.claim.v1, one NUL byte, then those bytes; expected SHA-256 is f512ca17b194df56a31e6d3b15ed5cdfd9b9741e459f86af6b09cbe3e8f492fc.</w:t>
      </w:r>
    </w:p>
    <w:p>
      <w:pPr>
        <w:pStyle w:val="BodyText"/>
      </w:pPr>
      <w:r>
        <w:t xml:space="preserve">Blob vector: input bytes 536b65696e0a (UTF-8 "Skein" followed by LF); preimage is ASCII skein.blob.v1, one NUL byte, then the input; expected SHA-256 is 00bb2b9f8ffde2cd7cd87b49f72893d0c1a5e7340ced8324dec22e18c11aefc7. Empty-blob vector: empty input; expected SHA-256 is 1a35c81f60f5dda39fad8f324291626512e694ad1bc951cf59d20b9b82f75bfd.</w:t>
      </w:r>
    </w:p>
    <w:p>
      <w:pPr>
        <w:pStyle w:val="BodyText"/>
      </w:pPr>
      <w:r>
        <w:t xml:space="preserve">Empty-state vector: canonical payload bytes are {"entries":[],"path_mode":"sensitive","schema_version":1}; preimage is ASCII skein.state.v1, one NUL byte, then those bytes; expected state root is b901d3573a15ed9ab055063f470deff912f94dd4e0f24684dca46f628c89316b.</w:t>
      </w:r>
    </w:p>
    <w:p>
      <w:pPr>
        <w:pStyle w:val="Heading2"/>
      </w:pPr>
      <w:r>
        <w:t xml:space="preserve">C.8 Application and gate-challenge vectors</w:t>
      </w:r>
    </w:p>
    <w:p>
      <w:pPr>
        <w:pStyle w:val="BodyText"/>
      </w:pPr>
      <w:r>
        <w:t xml:space="preserve">Unicode canonicalization vector: input string value contains U+0065 followed by U+0301 and object keys are supplied in noncanonical order. Canonical UTF-8 bytes are 7b2261223a302c22736368656d615f76657273696f6e223a312c227a223a22c3a9227d (decoded form: {"a":0,"schema_version":1,"z":"é"}); the skein.claim.v1 digest is 7d161010c4b133cb9570c54fb364d331539cb3fd2bebef204272a18fdfccd09f.</w:t>
      </w:r>
    </w:p>
    <w:p>
      <w:pPr>
        <w:pStyle w:val="BodyText"/>
      </w:pPr>
      <w:r>
        <w:t xml:space="preserve">Path vector: input component sequence src/e followed by U+0301 then .txt normalizes to src/U+00E9.txt with UTF-8 hex 7372632fc3a92e747874. In insensitive mode, a tree containing both A and a is rejected as a folded-path collision; in sensitive mode those two distinct names are permitted.</w:t>
      </w:r>
    </w:p>
    <w:p>
      <w:pPr>
        <w:pStyle w:val="BodyText"/>
      </w:pPr>
      <w:r>
        <w:t xml:space="preserve">Populated-state vector: one file at path a contains UTF-8 bytes 536b65696e0a and has blob ID 00bb2b9f8ffde2cd7cd87b49f72893d0c1a5e7340ced8324dec22e18c11aefc7. Canonical state payload is {"entries":[{"blob_id":"00bb2b9f8ffde2cd7cd87b49f72893d0c1a5e7340ced8324dec22e18c11aefc7","path":"a"}],"path_mode":"sensitive","schema_version":1}; expected state root is d42a319eb68495d2c27724b0e21c4ba776da2985d817e753152f238369175c63.</w:t>
      </w:r>
    </w:p>
    <w:p>
      <w:pPr>
        <w:pStyle w:val="BodyText"/>
      </w:pPr>
      <w:r>
        <w:t xml:space="preserve">Hunk vector: baseline bytes 6f6e650a74776f0a74687265650a (one LF, two LF, three LF); replace zero-based range [1,2) with bytes 544f570a (TWO LF). The expected old-slice SHA-256 is 27dd8ed44a83ff94d557f9fd0412ed5a8cbca69ea04922d88c01184a07300a5a; result bytes are 6f6e650a544f570a74687265650a with blob ID 798bf6f83ada55e9c4974847003bd4f8c1ded09c3e68d6ebe143aa91bd9c44b2. A replacement [0,1) paired with insertion [1,1) is rejected because the insertion is at the replacement boundary.</w:t>
      </w:r>
    </w:p>
    <w:p>
      <w:pPr>
        <w:pStyle w:val="BodyText"/>
      </w:pPr>
      <w:r>
        <w:t xml:space="preserve">Candidate-challenge vector (hash-valid serialization fixture, not an admissible land because proposal_claim_ids is empty): canonical candidate bytes are {"active_policy_hash":"2222222222222222222222222222222222222222222222222222222222222222","active_policy_id":"2222222222222222222222222222222222222222222222222222222222222222","composed_state_root":"5555555555555555555555555555555555555555555555555555555555555555","constraint_ids":[],"integration_plan_hash":"3333333333333333333333333333333333333333333333333333333333333333","integration_witness_id":"4444444444444444444444444444444444444444444444444444444444444444","proposal_claim_ids":[],"repository_id":"repo:test","required_review_ids":[],"schema_version":1,"target_state_root":"1111111111111111111111111111111111111111111111111111111111111111","target_weave_manifest_id":"0000000000000000000000000000000000000000000000000000000000000000"}. Expected candidate ID is 600ad2f1954e2eb487f512dfa425127b567384344166a9491665aa0a5b11a9eb; expected WebAuthn challenge (unpadded base64url) is YArS8ZVOLrSH9RLfpCUSe1ZzhDRBZqlJFmWqClsRqes.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Skein specification draft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