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1C1B6" w14:textId="64875D09" w:rsidR="00806C2C" w:rsidRPr="00D46527" w:rsidRDefault="001C0FA0" w:rsidP="0099457C">
      <w:pPr>
        <w:spacing w:line="360" w:lineRule="auto"/>
        <w:jc w:val="center"/>
        <w:rPr>
          <w:b/>
          <w:bCs/>
          <w:lang w:val="en-GB"/>
        </w:rPr>
      </w:pPr>
      <w:r w:rsidRPr="00D46527">
        <w:rPr>
          <w:b/>
          <w:bCs/>
          <w:lang w:val="en-GB"/>
        </w:rPr>
        <w:t>Collaborative Discussion 1: UML flowchart</w:t>
      </w:r>
    </w:p>
    <w:p w14:paraId="38091AAE" w14:textId="50515B14" w:rsidR="00207AFC" w:rsidRPr="00D46527" w:rsidRDefault="00207AFC" w:rsidP="0099457C">
      <w:pPr>
        <w:spacing w:line="360" w:lineRule="auto"/>
        <w:jc w:val="center"/>
        <w:rPr>
          <w:b/>
          <w:bCs/>
          <w:lang w:val="en-GB"/>
        </w:rPr>
      </w:pPr>
    </w:p>
    <w:p w14:paraId="51867518" w14:textId="77777777" w:rsidR="00D46527" w:rsidRPr="00D46527" w:rsidRDefault="00D46527" w:rsidP="0099457C">
      <w:pPr>
        <w:spacing w:line="360" w:lineRule="auto"/>
        <w:rPr>
          <w:lang w:val="en-GB"/>
        </w:rPr>
      </w:pPr>
      <w:r w:rsidRPr="00D46527">
        <w:rPr>
          <w:lang w:val="en-GB"/>
        </w:rPr>
        <w:t xml:space="preserve">    </w:t>
      </w:r>
    </w:p>
    <w:p w14:paraId="7D009924" w14:textId="242795CF" w:rsidR="00D46527" w:rsidRDefault="00D46527" w:rsidP="0099457C">
      <w:pPr>
        <w:spacing w:line="360" w:lineRule="auto"/>
        <w:jc w:val="both"/>
        <w:rPr>
          <w:lang w:val="en-GB"/>
        </w:rPr>
      </w:pPr>
      <w:r w:rsidRPr="00D46527">
        <w:rPr>
          <w:lang w:val="en-GB"/>
        </w:rPr>
        <w:t xml:space="preserve">    The Open Web Application Security Project (OWASP) is a non-profit </w:t>
      </w:r>
      <w:r>
        <w:rPr>
          <w:lang w:val="en-GB"/>
        </w:rPr>
        <w:t>foundation</w:t>
      </w:r>
      <w:r w:rsidRPr="00D46527">
        <w:rPr>
          <w:lang w:val="en-GB"/>
        </w:rPr>
        <w:t xml:space="preserve"> aim</w:t>
      </w:r>
      <w:r>
        <w:rPr>
          <w:lang w:val="en-GB"/>
        </w:rPr>
        <w:t xml:space="preserve">ing to recognise and improve the security of software (OWASP, n.d). It is supported by tens of </w:t>
      </w:r>
      <w:r w:rsidR="0099457C">
        <w:rPr>
          <w:lang w:val="en-GB"/>
        </w:rPr>
        <w:t>thousands of</w:t>
      </w:r>
      <w:r>
        <w:rPr>
          <w:lang w:val="en-GB"/>
        </w:rPr>
        <w:t xml:space="preserve"> </w:t>
      </w:r>
      <w:r w:rsidR="0099457C">
        <w:rPr>
          <w:lang w:val="en-GB"/>
        </w:rPr>
        <w:t>members, educational institutes, and more. It provides tools and resources to improve any software developed, it organises and provides training and has an active community for developers interested in improving security (OWASP, n.d).</w:t>
      </w:r>
    </w:p>
    <w:p w14:paraId="153B97FF" w14:textId="66EFA161" w:rsidR="0099457C" w:rsidRDefault="0099457C" w:rsidP="0099457C">
      <w:pPr>
        <w:spacing w:line="360" w:lineRule="auto"/>
        <w:jc w:val="both"/>
        <w:rPr>
          <w:lang w:val="en-GB"/>
        </w:rPr>
      </w:pPr>
      <w:r>
        <w:rPr>
          <w:lang w:val="en-GB"/>
        </w:rPr>
        <w:t xml:space="preserve">    OWASP has developed a document called “OWASP Top Ten” where it represents the most serious security risks of web applications.</w:t>
      </w:r>
    </w:p>
    <w:p w14:paraId="1B4EB669" w14:textId="35B89A22" w:rsidR="0099457C" w:rsidRDefault="0099457C" w:rsidP="0099457C">
      <w:pPr>
        <w:spacing w:line="360" w:lineRule="auto"/>
        <w:jc w:val="both"/>
        <w:rPr>
          <w:lang w:val="en-GB"/>
        </w:rPr>
      </w:pPr>
    </w:p>
    <w:p w14:paraId="05FDE8D7" w14:textId="495D6623" w:rsidR="0099457C" w:rsidRDefault="001D448E" w:rsidP="0099457C">
      <w:pPr>
        <w:spacing w:line="360" w:lineRule="auto"/>
        <w:jc w:val="both"/>
        <w:rPr>
          <w:lang w:val="en-GB"/>
        </w:rPr>
      </w:pPr>
      <w:r>
        <w:rPr>
          <w:lang w:val="en-GB"/>
        </w:rPr>
        <w:t>A common</w:t>
      </w:r>
      <w:r w:rsidR="0099457C">
        <w:rPr>
          <w:lang w:val="en-GB"/>
        </w:rPr>
        <w:t xml:space="preserve"> </w:t>
      </w:r>
      <w:r w:rsidR="00B96857">
        <w:rPr>
          <w:lang w:val="en-GB"/>
        </w:rPr>
        <w:t>critical</w:t>
      </w:r>
      <w:r w:rsidR="0099457C">
        <w:rPr>
          <w:lang w:val="en-GB"/>
        </w:rPr>
        <w:t xml:space="preserve"> security risk that affects all kinds of web applications is the A3 – Sensitive Data Exposure.</w:t>
      </w:r>
      <w:r w:rsidR="00B96857">
        <w:rPr>
          <w:lang w:val="en-GB"/>
        </w:rPr>
        <w:t xml:space="preserve"> Data Exposure can occur when the web application does not have proper </w:t>
      </w:r>
      <w:r>
        <w:rPr>
          <w:lang w:val="en-GB"/>
        </w:rPr>
        <w:t>encryption</w:t>
      </w:r>
      <w:r w:rsidR="003973C8">
        <w:rPr>
          <w:lang w:val="en-GB"/>
        </w:rPr>
        <w:t xml:space="preserve"> (e.g.</w:t>
      </w:r>
      <w:r w:rsidR="008C5757">
        <w:rPr>
          <w:lang w:val="en-GB"/>
        </w:rPr>
        <w:t xml:space="preserve">, </w:t>
      </w:r>
      <w:r w:rsidR="003973C8">
        <w:rPr>
          <w:lang w:val="en-GB"/>
        </w:rPr>
        <w:t>HTML</w:t>
      </w:r>
      <w:r w:rsidR="008C5757">
        <w:rPr>
          <w:lang w:val="en-GB"/>
        </w:rPr>
        <w:t xml:space="preserve">, </w:t>
      </w:r>
      <w:r w:rsidR="003973C8">
        <w:rPr>
          <w:lang w:val="en-GB"/>
        </w:rPr>
        <w:t>TLS</w:t>
      </w:r>
      <w:r w:rsidR="007359A4">
        <w:rPr>
          <w:lang w:val="en-GB"/>
        </w:rPr>
        <w:t>, SSL</w:t>
      </w:r>
      <w:r w:rsidR="003973C8">
        <w:rPr>
          <w:lang w:val="en-GB"/>
        </w:rPr>
        <w:t>)</w:t>
      </w:r>
      <w:r>
        <w:rPr>
          <w:lang w:val="en-GB"/>
        </w:rPr>
        <w:t>, resulting in</w:t>
      </w:r>
      <w:r w:rsidR="003973C8" w:rsidRPr="003973C8">
        <w:rPr>
          <w:lang w:val="en-US"/>
        </w:rPr>
        <w:t xml:space="preserve"> decrypted</w:t>
      </w:r>
      <w:r w:rsidR="003973C8">
        <w:rPr>
          <w:lang w:val="en-US"/>
        </w:rPr>
        <w:t xml:space="preserve"> </w:t>
      </w:r>
      <w:r>
        <w:rPr>
          <w:lang w:val="en-GB"/>
        </w:rPr>
        <w:t>data flow through the network</w:t>
      </w:r>
      <w:r w:rsidR="003973C8">
        <w:rPr>
          <w:lang w:val="en-GB"/>
        </w:rPr>
        <w:t>.</w:t>
      </w:r>
      <w:r w:rsidR="008C5757">
        <w:rPr>
          <w:lang w:val="en-GB"/>
        </w:rPr>
        <w:t xml:space="preserve"> Additionally, storing data </w:t>
      </w:r>
      <w:r w:rsidR="007919D9">
        <w:rPr>
          <w:lang w:val="en-GB"/>
        </w:rPr>
        <w:t>in</w:t>
      </w:r>
      <w:r w:rsidR="008C5757">
        <w:rPr>
          <w:lang w:val="en-GB"/>
        </w:rPr>
        <w:t xml:space="preserve"> decrypted databases ca</w:t>
      </w:r>
      <w:r w:rsidR="007919D9">
        <w:rPr>
          <w:lang w:val="en-GB"/>
        </w:rPr>
        <w:t>n</w:t>
      </w:r>
      <w:r w:rsidR="008C5757">
        <w:rPr>
          <w:lang w:val="en-GB"/>
        </w:rPr>
        <w:t xml:space="preserve"> result in an </w:t>
      </w:r>
      <w:r w:rsidR="008C5757" w:rsidRPr="008C5757">
        <w:rPr>
          <w:lang w:val="en-GB"/>
        </w:rPr>
        <w:t>immense</w:t>
      </w:r>
      <w:r w:rsidR="008C5757">
        <w:rPr>
          <w:lang w:val="en-GB"/>
        </w:rPr>
        <w:t xml:space="preserve"> data leak. </w:t>
      </w:r>
      <w:r w:rsidR="003973C8">
        <w:rPr>
          <w:lang w:val="en-GB"/>
        </w:rPr>
        <w:t>Apart from the obvious risk of creating opportunities for data leaks, APIs without proper encryption do not comply with the EU GDPR and can result in hefty fines (OWASP, n.d).</w:t>
      </w:r>
    </w:p>
    <w:p w14:paraId="184B21F0" w14:textId="1561A74B" w:rsidR="008C5757" w:rsidRDefault="008C5757" w:rsidP="0099457C">
      <w:pPr>
        <w:spacing w:line="360" w:lineRule="auto"/>
        <w:jc w:val="both"/>
        <w:rPr>
          <w:lang w:val="en-GB"/>
        </w:rPr>
      </w:pPr>
    </w:p>
    <w:p w14:paraId="5E5B9713" w14:textId="19429FF7" w:rsidR="008C5757" w:rsidRDefault="008C5757" w:rsidP="0099457C">
      <w:pPr>
        <w:spacing w:line="360" w:lineRule="auto"/>
        <w:jc w:val="both"/>
        <w:rPr>
          <w:lang w:val="en-GB"/>
        </w:rPr>
      </w:pPr>
      <w:proofErr w:type="gramStart"/>
      <w:r>
        <w:rPr>
          <w:lang w:val="en-GB"/>
        </w:rPr>
        <w:t>In order to</w:t>
      </w:r>
      <w:proofErr w:type="gramEnd"/>
      <w:r>
        <w:rPr>
          <w:lang w:val="en-GB"/>
        </w:rPr>
        <w:t xml:space="preserve"> mitigate the risk of Sensitive Data Exposure, developers should:</w:t>
      </w:r>
    </w:p>
    <w:p w14:paraId="2BFF91E3" w14:textId="04DCD608" w:rsidR="008C5757" w:rsidRDefault="008C5757" w:rsidP="008C5757">
      <w:pPr>
        <w:pStyle w:val="ListParagraph"/>
        <w:numPr>
          <w:ilvl w:val="0"/>
          <w:numId w:val="1"/>
        </w:numPr>
        <w:spacing w:line="360" w:lineRule="auto"/>
        <w:jc w:val="both"/>
        <w:rPr>
          <w:lang w:val="en-US"/>
        </w:rPr>
      </w:pPr>
      <w:r>
        <w:rPr>
          <w:lang w:val="en-US"/>
        </w:rPr>
        <w:t xml:space="preserve">Create encrypted and safe databases where only strictly necessary data will be stored. Storing </w:t>
      </w:r>
      <w:r w:rsidRPr="008C5757">
        <w:rPr>
          <w:lang w:val="en-US"/>
        </w:rPr>
        <w:t>additional</w:t>
      </w:r>
      <w:r>
        <w:rPr>
          <w:lang w:val="en-US"/>
        </w:rPr>
        <w:t xml:space="preserve"> non-required data puts further data </w:t>
      </w:r>
      <w:r w:rsidR="00494769">
        <w:rPr>
          <w:lang w:val="en-US"/>
        </w:rPr>
        <w:t>at</w:t>
      </w:r>
      <w:r>
        <w:rPr>
          <w:lang w:val="en-US"/>
        </w:rPr>
        <w:t xml:space="preserve"> risk, but also it does not comply with the GDPR, since the regulation strictly allows only required data to be processed (GDPR, 2016)</w:t>
      </w:r>
    </w:p>
    <w:p w14:paraId="0E2E818C" w14:textId="22F369BC" w:rsidR="008C5757" w:rsidRPr="008C5757" w:rsidRDefault="008C5757" w:rsidP="008C5757">
      <w:pPr>
        <w:pStyle w:val="ListParagraph"/>
        <w:numPr>
          <w:ilvl w:val="0"/>
          <w:numId w:val="1"/>
        </w:numPr>
        <w:spacing w:line="360" w:lineRule="auto"/>
        <w:jc w:val="both"/>
        <w:rPr>
          <w:lang w:val="en-US"/>
        </w:rPr>
      </w:pPr>
      <w:r>
        <w:rPr>
          <w:lang w:val="en-US"/>
        </w:rPr>
        <w:t>Deploy HTTPS</w:t>
      </w:r>
      <w:r w:rsidR="007359A4">
        <w:rPr>
          <w:lang w:val="en-US"/>
        </w:rPr>
        <w:t xml:space="preserve">, </w:t>
      </w:r>
      <w:r>
        <w:rPr>
          <w:lang w:val="en-US"/>
        </w:rPr>
        <w:t>TLS</w:t>
      </w:r>
      <w:r w:rsidR="007359A4">
        <w:rPr>
          <w:lang w:val="en-US"/>
        </w:rPr>
        <w:t xml:space="preserve"> or SSL</w:t>
      </w:r>
      <w:r>
        <w:rPr>
          <w:lang w:val="en-US"/>
        </w:rPr>
        <w:t xml:space="preserve"> encryption protocols to secure data flowing within the network (e.g., from a computer connected to a public WIFI to the server of the web application).</w:t>
      </w:r>
    </w:p>
    <w:p w14:paraId="5C1FEE3F" w14:textId="70FE175B" w:rsidR="00207AFC" w:rsidRDefault="00207AFC" w:rsidP="0099457C">
      <w:pPr>
        <w:spacing w:line="360" w:lineRule="auto"/>
        <w:rPr>
          <w:b/>
          <w:bCs/>
          <w:lang w:val="en-GB"/>
        </w:rPr>
      </w:pPr>
    </w:p>
    <w:p w14:paraId="5ED2F27F" w14:textId="5DADD677" w:rsidR="00D46527" w:rsidRDefault="00D46527" w:rsidP="0099457C">
      <w:pPr>
        <w:spacing w:line="360" w:lineRule="auto"/>
        <w:rPr>
          <w:b/>
          <w:bCs/>
          <w:lang w:val="en-GB"/>
        </w:rPr>
      </w:pPr>
    </w:p>
    <w:p w14:paraId="71097562" w14:textId="6C6BBED5" w:rsidR="00D46527" w:rsidRDefault="00D46527" w:rsidP="0099457C">
      <w:pPr>
        <w:spacing w:line="360" w:lineRule="auto"/>
        <w:rPr>
          <w:b/>
          <w:bCs/>
          <w:lang w:val="en-GB"/>
        </w:rPr>
      </w:pPr>
    </w:p>
    <w:p w14:paraId="7C84E85D" w14:textId="11D322B6" w:rsidR="00F25054" w:rsidRDefault="00F25054" w:rsidP="0099457C">
      <w:pPr>
        <w:spacing w:line="360" w:lineRule="auto"/>
        <w:rPr>
          <w:b/>
          <w:bCs/>
          <w:lang w:val="en-GB"/>
        </w:rPr>
      </w:pPr>
    </w:p>
    <w:p w14:paraId="6BE75B62" w14:textId="25A9B271" w:rsidR="00F25054" w:rsidRDefault="00F25054" w:rsidP="0099457C">
      <w:pPr>
        <w:spacing w:line="360" w:lineRule="auto"/>
        <w:rPr>
          <w:b/>
          <w:bCs/>
          <w:lang w:val="en-GB"/>
        </w:rPr>
      </w:pPr>
    </w:p>
    <w:p w14:paraId="7A2F6BFE" w14:textId="084EF267" w:rsidR="00F25054" w:rsidRDefault="00F25054" w:rsidP="0099457C">
      <w:pPr>
        <w:spacing w:line="360" w:lineRule="auto"/>
        <w:rPr>
          <w:b/>
          <w:bCs/>
          <w:lang w:val="en-GB"/>
        </w:rPr>
      </w:pPr>
    </w:p>
    <w:p w14:paraId="57B60819" w14:textId="5A1200E9" w:rsidR="00F25054" w:rsidRDefault="00F25054" w:rsidP="00F25054">
      <w:pPr>
        <w:spacing w:line="360" w:lineRule="auto"/>
        <w:jc w:val="center"/>
        <w:rPr>
          <w:b/>
          <w:bCs/>
          <w:lang w:val="en-GB"/>
        </w:rPr>
      </w:pPr>
      <w:r>
        <w:rPr>
          <w:b/>
          <w:bCs/>
          <w:noProof/>
          <w:lang w:val="en-GB"/>
        </w:rPr>
        <w:lastRenderedPageBreak/>
        <w:drawing>
          <wp:inline distT="0" distB="0" distL="0" distR="0" wp14:anchorId="7FB9C0E2" wp14:editId="56C96D6E">
            <wp:extent cx="5119557" cy="7211262"/>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26833" cy="7221511"/>
                    </a:xfrm>
                    <a:prstGeom prst="rect">
                      <a:avLst/>
                    </a:prstGeom>
                  </pic:spPr>
                </pic:pic>
              </a:graphicData>
            </a:graphic>
          </wp:inline>
        </w:drawing>
      </w:r>
    </w:p>
    <w:p w14:paraId="16B763F3" w14:textId="14821355" w:rsidR="00D46527" w:rsidRDefault="00D46527" w:rsidP="0099457C">
      <w:pPr>
        <w:spacing w:line="360" w:lineRule="auto"/>
        <w:rPr>
          <w:b/>
          <w:bCs/>
          <w:lang w:val="en-GB"/>
        </w:rPr>
      </w:pPr>
    </w:p>
    <w:p w14:paraId="623763C6" w14:textId="220EEBA6" w:rsidR="00D46527" w:rsidRDefault="00D46527" w:rsidP="0099457C">
      <w:pPr>
        <w:spacing w:line="360" w:lineRule="auto"/>
        <w:rPr>
          <w:b/>
          <w:bCs/>
          <w:lang w:val="en-GB"/>
        </w:rPr>
      </w:pPr>
    </w:p>
    <w:p w14:paraId="1A88DD7B" w14:textId="589C18F4" w:rsidR="00F25054" w:rsidRDefault="00F25054" w:rsidP="0099457C">
      <w:pPr>
        <w:spacing w:line="360" w:lineRule="auto"/>
        <w:rPr>
          <w:b/>
          <w:bCs/>
          <w:lang w:val="en-GB"/>
        </w:rPr>
      </w:pPr>
    </w:p>
    <w:p w14:paraId="77761CEF" w14:textId="77777777" w:rsidR="003B1163" w:rsidRDefault="003B1163" w:rsidP="0099457C">
      <w:pPr>
        <w:spacing w:line="360" w:lineRule="auto"/>
        <w:rPr>
          <w:b/>
          <w:bCs/>
          <w:lang w:val="en-GB"/>
        </w:rPr>
      </w:pPr>
    </w:p>
    <w:p w14:paraId="5B514FEE" w14:textId="77777777" w:rsidR="00F25054" w:rsidRDefault="00F25054" w:rsidP="0099457C">
      <w:pPr>
        <w:spacing w:line="360" w:lineRule="auto"/>
        <w:rPr>
          <w:b/>
          <w:bCs/>
          <w:lang w:val="en-GB"/>
        </w:rPr>
      </w:pPr>
    </w:p>
    <w:p w14:paraId="2AC2C2A6" w14:textId="0F6DD5BF" w:rsidR="00D46527" w:rsidRDefault="00D46527" w:rsidP="0099457C">
      <w:pPr>
        <w:spacing w:line="360" w:lineRule="auto"/>
        <w:rPr>
          <w:u w:val="single"/>
          <w:lang w:val="en-GB"/>
        </w:rPr>
      </w:pPr>
      <w:r w:rsidRPr="00D46527">
        <w:rPr>
          <w:u w:val="single"/>
          <w:lang w:val="en-GB"/>
        </w:rPr>
        <w:lastRenderedPageBreak/>
        <w:t>References:</w:t>
      </w:r>
    </w:p>
    <w:p w14:paraId="03ADC567" w14:textId="77777777" w:rsidR="008C5757" w:rsidRDefault="008C5757" w:rsidP="0099457C">
      <w:pPr>
        <w:spacing w:line="360" w:lineRule="auto"/>
        <w:rPr>
          <w:u w:val="single"/>
          <w:lang w:val="en-GB"/>
        </w:rPr>
      </w:pPr>
    </w:p>
    <w:p w14:paraId="5FE3F11A" w14:textId="252E6DEC" w:rsidR="008C5757" w:rsidRDefault="008C5757" w:rsidP="008C5757">
      <w:pPr>
        <w:pStyle w:val="NormalWeb"/>
        <w:spacing w:before="0" w:beforeAutospacing="0"/>
        <w:jc w:val="both"/>
        <w:rPr>
          <w:rFonts w:asciiTheme="minorHAnsi" w:eastAsiaTheme="minorHAnsi" w:hAnsiTheme="minorHAnsi" w:cstheme="minorBidi"/>
          <w:lang w:val="en-GB" w:eastAsia="en-US"/>
        </w:rPr>
      </w:pPr>
      <w:r w:rsidRPr="008C5757">
        <w:rPr>
          <w:rFonts w:asciiTheme="minorHAnsi" w:eastAsiaTheme="minorHAnsi" w:hAnsiTheme="minorHAnsi" w:cstheme="minorBidi"/>
          <w:lang w:val="en-GB" w:eastAsia="en-US"/>
        </w:rPr>
        <w:t>EUR-Lex (n.d.) Regulation (EU) 2016/679 of the European Parliament and of the Council of 27 April 2016 on the protection of natural persons with regard to the processing of personal data and on the free movement of such data, and repealing Directive 95/46/EC. Available from: </w:t>
      </w:r>
      <w:hyperlink r:id="rId6" w:history="1">
        <w:r w:rsidRPr="008C5757">
          <w:rPr>
            <w:rFonts w:asciiTheme="minorHAnsi" w:eastAsiaTheme="minorHAnsi" w:hAnsiTheme="minorHAnsi" w:cstheme="minorBidi"/>
            <w:lang w:eastAsia="en-US"/>
          </w:rPr>
          <w:t>https://eur-lex.europa.eu/eli/reg/2016/679/oj</w:t>
        </w:r>
      </w:hyperlink>
      <w:r w:rsidRPr="008C5757">
        <w:rPr>
          <w:rFonts w:asciiTheme="minorHAnsi" w:eastAsiaTheme="minorHAnsi" w:hAnsiTheme="minorHAnsi" w:cstheme="minorBidi"/>
          <w:lang w:val="en-GB" w:eastAsia="en-US"/>
        </w:rPr>
        <w:t> [Accessed 21 July 2021]</w:t>
      </w:r>
      <w:r>
        <w:rPr>
          <w:rFonts w:asciiTheme="minorHAnsi" w:eastAsiaTheme="minorHAnsi" w:hAnsiTheme="minorHAnsi" w:cstheme="minorBidi"/>
          <w:lang w:val="en-GB" w:eastAsia="en-US"/>
        </w:rPr>
        <w:t>.</w:t>
      </w:r>
    </w:p>
    <w:p w14:paraId="2CB9E041" w14:textId="77777777" w:rsidR="008C5757" w:rsidRPr="008C5757" w:rsidRDefault="008C5757" w:rsidP="008C5757">
      <w:pPr>
        <w:pStyle w:val="NormalWeb"/>
        <w:spacing w:before="0" w:beforeAutospacing="0"/>
        <w:jc w:val="both"/>
        <w:rPr>
          <w:rFonts w:asciiTheme="minorHAnsi" w:eastAsiaTheme="minorHAnsi" w:hAnsiTheme="minorHAnsi" w:cstheme="minorBidi"/>
          <w:lang w:val="en-GB" w:eastAsia="en-US"/>
        </w:rPr>
      </w:pPr>
    </w:p>
    <w:p w14:paraId="493B787C" w14:textId="77777777" w:rsidR="00B96857" w:rsidRPr="00D46527" w:rsidRDefault="00B96857" w:rsidP="008C5757">
      <w:pPr>
        <w:spacing w:line="360" w:lineRule="auto"/>
        <w:jc w:val="both"/>
        <w:rPr>
          <w:lang w:val="en-GB"/>
        </w:rPr>
      </w:pPr>
      <w:r w:rsidRPr="00D46527">
        <w:rPr>
          <w:lang w:val="en-GB"/>
        </w:rPr>
        <w:t xml:space="preserve">OWASP (n.d) </w:t>
      </w:r>
      <w:r w:rsidRPr="00B96857">
        <w:rPr>
          <w:lang w:val="en-GB"/>
        </w:rPr>
        <w:t>A3:2017-Sensitive Data Exposure</w:t>
      </w:r>
      <w:r>
        <w:rPr>
          <w:lang w:val="en-GB"/>
        </w:rPr>
        <w:t xml:space="preserve"> </w:t>
      </w:r>
      <w:r w:rsidRPr="00D46527">
        <w:rPr>
          <w:lang w:val="en-GB"/>
        </w:rPr>
        <w:t>Available from</w:t>
      </w:r>
      <w:r>
        <w:rPr>
          <w:lang w:val="en-GB"/>
        </w:rPr>
        <w:t>:</w:t>
      </w:r>
      <w:r w:rsidRPr="00D46527">
        <w:rPr>
          <w:lang w:val="en-GB"/>
        </w:rPr>
        <w:t xml:space="preserve"> </w:t>
      </w:r>
      <w:hyperlink r:id="rId7" w:history="1">
        <w:r w:rsidRPr="00373722">
          <w:rPr>
            <w:rStyle w:val="Hyperlink"/>
            <w:lang w:val="en-GB"/>
          </w:rPr>
          <w:t>https://owasp.org/www-project-top-ten/2017/A3_2017-Sensitive_Data_Exposure</w:t>
        </w:r>
      </w:hyperlink>
      <w:r>
        <w:rPr>
          <w:lang w:val="en-GB"/>
        </w:rPr>
        <w:t xml:space="preserve"> </w:t>
      </w:r>
      <w:r w:rsidRPr="00D46527">
        <w:rPr>
          <w:lang w:val="en-GB"/>
        </w:rPr>
        <w:t>[Accessed 21 July 2021].</w:t>
      </w:r>
    </w:p>
    <w:p w14:paraId="103A8E3D" w14:textId="2129903F" w:rsidR="00D46527" w:rsidRDefault="00D46527" w:rsidP="008C5757">
      <w:pPr>
        <w:spacing w:line="360" w:lineRule="auto"/>
        <w:jc w:val="both"/>
        <w:rPr>
          <w:u w:val="single"/>
          <w:lang w:val="en-GB"/>
        </w:rPr>
      </w:pPr>
    </w:p>
    <w:p w14:paraId="685B1852" w14:textId="25FBEB3C" w:rsidR="00B96857" w:rsidRPr="00D46527" w:rsidRDefault="00B96857" w:rsidP="008C5757">
      <w:pPr>
        <w:spacing w:line="360" w:lineRule="auto"/>
        <w:jc w:val="both"/>
        <w:rPr>
          <w:lang w:val="en-GB"/>
        </w:rPr>
      </w:pPr>
      <w:r w:rsidRPr="00D46527">
        <w:rPr>
          <w:lang w:val="en-GB"/>
        </w:rPr>
        <w:t xml:space="preserve">OWASP (n.d) </w:t>
      </w:r>
      <w:r>
        <w:rPr>
          <w:lang w:val="en-GB"/>
        </w:rPr>
        <w:t>OWASP Top Ten</w:t>
      </w:r>
      <w:r w:rsidRPr="00D46527">
        <w:rPr>
          <w:lang w:val="en-GB"/>
        </w:rPr>
        <w:t xml:space="preserve"> Available from</w:t>
      </w:r>
      <w:r>
        <w:rPr>
          <w:lang w:val="en-GB"/>
        </w:rPr>
        <w:t>:</w:t>
      </w:r>
      <w:r w:rsidRPr="00D46527">
        <w:rPr>
          <w:lang w:val="en-GB"/>
        </w:rPr>
        <w:t xml:space="preserve"> </w:t>
      </w:r>
      <w:hyperlink r:id="rId8" w:history="1">
        <w:r w:rsidRPr="00373722">
          <w:rPr>
            <w:rStyle w:val="Hyperlink"/>
            <w:lang w:val="en-GB"/>
          </w:rPr>
          <w:t>https://owasp.org/www-project-top-ten/</w:t>
        </w:r>
      </w:hyperlink>
      <w:r>
        <w:rPr>
          <w:lang w:val="en-GB"/>
        </w:rPr>
        <w:t xml:space="preserve"> </w:t>
      </w:r>
      <w:hyperlink r:id="rId9" w:history="1"/>
      <w:r w:rsidRPr="00D46527">
        <w:rPr>
          <w:lang w:val="en-GB"/>
        </w:rPr>
        <w:t xml:space="preserve"> [Accessed 21 July 2021].</w:t>
      </w:r>
    </w:p>
    <w:p w14:paraId="528F8E83" w14:textId="77777777" w:rsidR="00B96857" w:rsidRDefault="00B96857" w:rsidP="008C5757">
      <w:pPr>
        <w:spacing w:line="360" w:lineRule="auto"/>
        <w:jc w:val="both"/>
        <w:rPr>
          <w:u w:val="single"/>
          <w:lang w:val="en-GB"/>
        </w:rPr>
      </w:pPr>
    </w:p>
    <w:p w14:paraId="1901EC95" w14:textId="02BF2886" w:rsidR="00D46527" w:rsidRDefault="00D46527" w:rsidP="008C5757">
      <w:pPr>
        <w:spacing w:line="360" w:lineRule="auto"/>
        <w:jc w:val="both"/>
        <w:rPr>
          <w:lang w:val="en-GB"/>
        </w:rPr>
      </w:pPr>
      <w:r w:rsidRPr="00D46527">
        <w:rPr>
          <w:lang w:val="en-GB"/>
        </w:rPr>
        <w:t>OWASP (n.d) Who is the OWASP Foundation? Available from</w:t>
      </w:r>
      <w:r w:rsidR="00B96857">
        <w:rPr>
          <w:lang w:val="en-GB"/>
        </w:rPr>
        <w:t>:</w:t>
      </w:r>
      <w:r w:rsidRPr="00D46527">
        <w:rPr>
          <w:lang w:val="en-GB"/>
        </w:rPr>
        <w:t xml:space="preserve"> </w:t>
      </w:r>
      <w:hyperlink r:id="rId10" w:history="1">
        <w:r w:rsidRPr="00D46527">
          <w:rPr>
            <w:rStyle w:val="Hyperlink"/>
            <w:u w:val="none"/>
            <w:lang w:val="en-GB"/>
          </w:rPr>
          <w:t>https://owasp.org</w:t>
        </w:r>
      </w:hyperlink>
      <w:r w:rsidRPr="00D46527">
        <w:rPr>
          <w:lang w:val="en-GB"/>
        </w:rPr>
        <w:t xml:space="preserve"> [Accessed 21 July 2021].</w:t>
      </w:r>
    </w:p>
    <w:p w14:paraId="7A8255D9" w14:textId="75245660" w:rsidR="008C5757" w:rsidRDefault="008C5757" w:rsidP="0099457C">
      <w:pPr>
        <w:spacing w:line="360" w:lineRule="auto"/>
        <w:jc w:val="both"/>
        <w:rPr>
          <w:lang w:val="en-GB"/>
        </w:rPr>
      </w:pPr>
    </w:p>
    <w:p w14:paraId="0E128B0D" w14:textId="77777777" w:rsidR="008C5757" w:rsidRPr="008C5757" w:rsidRDefault="008C5757" w:rsidP="0099457C">
      <w:pPr>
        <w:spacing w:line="360" w:lineRule="auto"/>
        <w:jc w:val="both"/>
      </w:pPr>
    </w:p>
    <w:p w14:paraId="183305FF" w14:textId="3552D49E" w:rsidR="00B96857" w:rsidRDefault="00B96857" w:rsidP="0099457C">
      <w:pPr>
        <w:spacing w:line="360" w:lineRule="auto"/>
        <w:jc w:val="both"/>
        <w:rPr>
          <w:lang w:val="en-GB"/>
        </w:rPr>
      </w:pPr>
    </w:p>
    <w:p w14:paraId="45B3865E" w14:textId="77777777" w:rsidR="00B96857" w:rsidRDefault="00B96857" w:rsidP="0099457C">
      <w:pPr>
        <w:spacing w:line="360" w:lineRule="auto"/>
        <w:jc w:val="both"/>
        <w:rPr>
          <w:lang w:val="en-GB"/>
        </w:rPr>
      </w:pPr>
    </w:p>
    <w:p w14:paraId="73C0DA09" w14:textId="77777777" w:rsidR="00B96857" w:rsidRPr="00D46527" w:rsidRDefault="00B96857" w:rsidP="0099457C">
      <w:pPr>
        <w:spacing w:line="360" w:lineRule="auto"/>
        <w:jc w:val="both"/>
        <w:rPr>
          <w:lang w:val="en-GB"/>
        </w:rPr>
      </w:pPr>
    </w:p>
    <w:p w14:paraId="25542BB0" w14:textId="291CCC7D" w:rsidR="00D46527" w:rsidRDefault="00D46527" w:rsidP="0099457C">
      <w:pPr>
        <w:spacing w:line="360" w:lineRule="auto"/>
        <w:rPr>
          <w:b/>
          <w:bCs/>
          <w:lang w:val="en-GB"/>
        </w:rPr>
      </w:pPr>
    </w:p>
    <w:p w14:paraId="50DDB12C" w14:textId="77777777" w:rsidR="00D46527" w:rsidRPr="00D46527" w:rsidRDefault="00D46527" w:rsidP="0099457C">
      <w:pPr>
        <w:spacing w:line="360" w:lineRule="auto"/>
        <w:rPr>
          <w:b/>
          <w:bCs/>
          <w:lang w:val="en-GB"/>
        </w:rPr>
      </w:pPr>
    </w:p>
    <w:sectPr w:rsidR="00D46527" w:rsidRPr="00D4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05A6C"/>
    <w:multiLevelType w:val="hybridMultilevel"/>
    <w:tmpl w:val="550ABF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0"/>
    <w:rsid w:val="001C0FA0"/>
    <w:rsid w:val="001D448E"/>
    <w:rsid w:val="00207AFC"/>
    <w:rsid w:val="003973C8"/>
    <w:rsid w:val="003B1163"/>
    <w:rsid w:val="00494769"/>
    <w:rsid w:val="007359A4"/>
    <w:rsid w:val="007919D9"/>
    <w:rsid w:val="00806C2C"/>
    <w:rsid w:val="008C5757"/>
    <w:rsid w:val="0099457C"/>
    <w:rsid w:val="00B96857"/>
    <w:rsid w:val="00BD5A06"/>
    <w:rsid w:val="00D46527"/>
    <w:rsid w:val="00F250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7562F43"/>
  <w15:chartTrackingRefBased/>
  <w15:docId w15:val="{30B5FE33-E3AA-504B-8CFC-57582D5F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527"/>
    <w:rPr>
      <w:color w:val="0563C1" w:themeColor="hyperlink"/>
      <w:u w:val="single"/>
    </w:rPr>
  </w:style>
  <w:style w:type="character" w:styleId="UnresolvedMention">
    <w:name w:val="Unresolved Mention"/>
    <w:basedOn w:val="DefaultParagraphFont"/>
    <w:uiPriority w:val="99"/>
    <w:semiHidden/>
    <w:unhideWhenUsed/>
    <w:rsid w:val="00D46527"/>
    <w:rPr>
      <w:color w:val="605E5C"/>
      <w:shd w:val="clear" w:color="auto" w:fill="E1DFDD"/>
    </w:rPr>
  </w:style>
  <w:style w:type="paragraph" w:styleId="ListParagraph">
    <w:name w:val="List Paragraph"/>
    <w:basedOn w:val="Normal"/>
    <w:uiPriority w:val="34"/>
    <w:qFormat/>
    <w:rsid w:val="008C5757"/>
    <w:pPr>
      <w:ind w:left="720"/>
      <w:contextualSpacing/>
    </w:pPr>
  </w:style>
  <w:style w:type="paragraph" w:styleId="NormalWeb">
    <w:name w:val="Normal (Web)"/>
    <w:basedOn w:val="Normal"/>
    <w:uiPriority w:val="99"/>
    <w:unhideWhenUsed/>
    <w:rsid w:val="008C575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1862">
      <w:bodyDiv w:val="1"/>
      <w:marLeft w:val="0"/>
      <w:marRight w:val="0"/>
      <w:marTop w:val="0"/>
      <w:marBottom w:val="0"/>
      <w:divBdr>
        <w:top w:val="none" w:sz="0" w:space="0" w:color="auto"/>
        <w:left w:val="none" w:sz="0" w:space="0" w:color="auto"/>
        <w:bottom w:val="none" w:sz="0" w:space="0" w:color="auto"/>
        <w:right w:val="none" w:sz="0" w:space="0" w:color="auto"/>
      </w:divBdr>
    </w:div>
    <w:div w:id="21404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3" Type="http://schemas.openxmlformats.org/officeDocument/2006/relationships/settings" Target="settings.xml"/><Relationship Id="rId7" Type="http://schemas.openxmlformats.org/officeDocument/2006/relationships/hyperlink" Target="https://owasp.org/www-project-top-ten/2017/A3_2017-Sensitive_Data_Expos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owasp.org" TargetMode="External"/><Relationship Id="rId4" Type="http://schemas.openxmlformats.org/officeDocument/2006/relationships/webSettings" Target="webSettings.xml"/><Relationship Id="rId9" Type="http://schemas.openxmlformats.org/officeDocument/2006/relationships/hyperlink" Target="https://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6</cp:revision>
  <dcterms:created xsi:type="dcterms:W3CDTF">2021-07-23T08:00:00Z</dcterms:created>
  <dcterms:modified xsi:type="dcterms:W3CDTF">2021-07-26T19:02:00Z</dcterms:modified>
</cp:coreProperties>
</file>