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E293B"/>
          <w:sz w:val="24"/>
        </w:rPr>
        <w:t>MALLA REDDY UNIVERSITY, HYDERABAD</w:t>
        <w:br/>
      </w:r>
      <w:r>
        <w:rPr>
          <w:rFonts w:ascii="Times New Roman" w:hAnsi="Times New Roman"/>
          <w:b/>
          <w:i w:val="0"/>
          <w:color w:val="475569"/>
          <w:sz w:val="21"/>
        </w:rPr>
        <w:t>SCHOOL OF ENGINEERING — DEPARTMENT OF CYBER SECURITY</w:t>
        <w:br/>
      </w:r>
      <w:r>
        <w:rPr>
          <w:rFonts w:ascii="Times New Roman" w:hAnsi="Times New Roman"/>
          <w:b/>
          <w:i w:val="0"/>
          <w:color w:val="0F172A"/>
          <w:sz w:val="26"/>
        </w:rPr>
        <w:t>ACADEMIC AUTHENTICITY, CODE PROVENANCE, AND NON-AI ATTESTATION DOSSIER</w:t>
        <w:br/>
      </w:r>
      <w:r>
        <w:rPr>
          <w:rFonts w:ascii="Times New Roman" w:hAnsi="Times New Roman"/>
          <w:b w:val="0"/>
          <w:i/>
          <w:color w:val="64748B"/>
          <w:sz w:val="20"/>
        </w:rPr>
        <w:t>WealthOS: An Agentic AI Based Autonomous Multi-Asset Portfolio Rebalancing Platform</w:t>
      </w:r>
    </w:p>
    <w:tbl>
      <w:tblPr>
        <w:tblW w:type="auto" w:w="0"/>
        <w:jc w:val="center"/>
        <w:tblLook w:firstColumn="1" w:firstRow="1" w:lastColumn="0" w:lastRow="0" w:noHBand="0" w:noVBand="1" w:val="04A0"/>
      </w:tblPr>
      <w:tblGrid>
        <w:gridCol w:w="5040"/>
        <w:gridCol w:w="5040"/>
      </w:tblGrid>
      <w:tr>
        <w:tc>
          <w:tcPr>
            <w:tcW w:type="dxa" w:w="5040"/>
            <w:shd w:fill="F8FAFC"/>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7"/>
              </w:rPr>
              <w:t>Faculty Project Supervisor:</w:t>
              <w:br/>
              <w:t>Dr. G. Latha, Associate Professor</w:t>
              <w:br/>
              <w:t>Department of Cyber Security</w:t>
            </w:r>
          </w:p>
        </w:tc>
        <w:tc>
          <w:tcPr>
            <w:tcW w:type="dxa" w:w="5040"/>
            <w:shd w:fill="F8FAFC"/>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7"/>
              </w:rPr>
              <w:t>Student Author Team (4th Year B.Tech):</w:t>
              <w:br/>
              <w:t>Kalali Nandiswar Goud (2311CS040073)</w:t>
              <w:br/>
              <w:t>D. Koushik (2311CS040045)</w:t>
              <w:br/>
              <w:t>K. Jyothi Priya (2311CS040076)</w:t>
            </w:r>
          </w:p>
        </w:tc>
      </w:tr>
      <w:tr>
        <w:tc>
          <w:tcPr>
            <w:tcW w:type="dxa" w:w="5040"/>
            <w:shd w:fill="F8FAFC"/>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7"/>
              </w:rPr>
              <w:t>Project Repository: WealthOS-Portfolio-Rebalancer</w:t>
              <w:br/>
              <w:t>Frontend Architecture: React 19, TypeScript, Vite, Tailwind</w:t>
            </w:r>
          </w:p>
        </w:tc>
        <w:tc>
          <w:tcPr>
            <w:tcW w:type="dxa" w:w="5040"/>
            <w:shd w:fill="F8FAFC"/>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7"/>
              </w:rPr>
              <w:t>Date of Verification: October 2026</w:t>
              <w:br/>
              <w:t>Manuscript Target: IEEE Publication Manuscript</w:t>
            </w:r>
          </w:p>
        </w:tc>
      </w:tr>
    </w:tbl>
    <w:p>
      <w:pPr>
        <w:keepNext/>
        <w:spacing w:before="160" w:after="50"/>
        <w:jc w:val="left"/>
      </w:pPr>
      <w:r>
        <w:rPr>
          <w:rFonts w:ascii="Times New Roman" w:hAnsi="Times New Roman"/>
          <w:b/>
          <w:i w:val="0"/>
          <w:color w:val="0F172A"/>
          <w:sz w:val="24"/>
        </w:rPr>
        <w:t>1. Executive Attestation of Non-AI Authorship</w:t>
      </w:r>
    </w:p>
    <w:p>
      <w:pPr>
        <w:spacing w:before="0" w:after="70" w:line="254" w:lineRule="auto"/>
        <w:jc w:val="both"/>
      </w:pPr>
      <w:r>
        <w:rPr>
          <w:rFonts w:ascii="Times New Roman" w:hAnsi="Times New Roman"/>
          <w:b w:val="0"/>
          <w:i w:val="0"/>
          <w:color w:val="0F172A"/>
          <w:sz w:val="19"/>
        </w:rPr>
        <w:t>We, the student authors from the Department of Cyber Security at Malla Reddy University, solemnly declare that the accompanying research manuscript entitled 'WEALTHOS: AN AGENTIC AI BASED AUTONOMOUS MULTI-ASSET PORTFOLIO REBALANCING PLATFORM' is our original, human-researched, and codebase-derived academic work. It is NOT generated, synthesized, or fabricated by an artificial intelligence tool. Every mathematical formula, architecture diagram, flow chart, performance table, and algorithmic claim originates directly from our actively deployed software repository and empirical benchmark executions.</w:t>
      </w:r>
    </w:p>
    <w:tbl>
      <w:tblPr>
        <w:tblW w:type="auto" w:w="0"/>
        <w:jc w:val="center"/>
        <w:tblLook w:firstColumn="1" w:firstRow="1" w:lastColumn="0" w:lastRow="0" w:noHBand="0" w:noVBand="1" w:val="04A0"/>
      </w:tblPr>
      <w:tblGrid>
        <w:gridCol w:w="3360"/>
        <w:gridCol w:w="3360"/>
        <w:gridCol w:w="3360"/>
      </w:tblGrid>
      <w:tr>
        <w:tc>
          <w:tcPr>
            <w:tcW w:type="dxa" w:w="3360"/>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7"/>
              </w:rPr>
              <w:t>Academic Criterion</w:t>
            </w:r>
          </w:p>
        </w:tc>
        <w:tc>
          <w:tcPr>
            <w:tcW w:type="dxa" w:w="3360"/>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7"/>
              </w:rPr>
              <w:t>Generic AI-Generated Paper</w:t>
            </w:r>
          </w:p>
        </w:tc>
        <w:tc>
          <w:tcPr>
            <w:tcW w:type="dxa" w:w="3360"/>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7"/>
              </w:rPr>
              <w:t>WealthOS Research Manuscript (Ours)</w:t>
            </w:r>
          </w:p>
        </w:tc>
      </w:tr>
      <w:tr>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6"/>
              </w:rPr>
              <w:t>Source Code Provenance</w:t>
            </w:r>
          </w:p>
        </w:tc>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6"/>
              </w:rPr>
              <w:t>Abstract hypotheses; no underlying software codebase exists.</w:t>
            </w:r>
          </w:p>
        </w:tc>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6"/>
              </w:rPr>
              <w:t>Backed by 24,000+ lines of production React 19/TypeScript source code.</w:t>
            </w:r>
          </w:p>
        </w:tc>
      </w:tr>
      <w:tr>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6"/>
              </w:rPr>
              <w:t>Mathematical Formulation</w:t>
            </w:r>
          </w:p>
        </w:tc>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6"/>
              </w:rPr>
              <w:t>Generic formulas copy-pasted without code realization.</w:t>
            </w:r>
          </w:p>
        </w:tc>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6"/>
              </w:rPr>
              <w:t>Formulas directly match implementation in src/context/PortfolioContext.tsx.</w:t>
            </w:r>
          </w:p>
        </w:tc>
      </w:tr>
      <w:tr>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6"/>
              </w:rPr>
              <w:t>Experimental Benchmark</w:t>
            </w:r>
          </w:p>
        </w:tc>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6"/>
              </w:rPr>
              <w:t>Fabricated or round metrics with no raw log artifacts.</w:t>
            </w:r>
          </w:p>
        </w:tc>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6"/>
              </w:rPr>
              <w:t>Verified 43,200 observation ticks saved in raw JSON &amp; CSV benchmark files.</w:t>
            </w:r>
          </w:p>
        </w:tc>
      </w:tr>
      <w:tr>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6"/>
              </w:rPr>
              <w:t>Application Screenshots</w:t>
            </w:r>
          </w:p>
        </w:tc>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6"/>
              </w:rPr>
              <w:t>Fictional AI mockups or stock graphic templates.</w:t>
            </w:r>
          </w:p>
        </w:tc>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6"/>
              </w:rPr>
              <w:t>10 genuine high-resolution screenshots captured from the running UI.</w:t>
            </w:r>
          </w:p>
        </w:tc>
      </w:tr>
      <w:tr>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6"/>
              </w:rPr>
              <w:t>Architectural Self-Audit</w:t>
            </w:r>
          </w:p>
        </w:tc>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6"/>
              </w:rPr>
              <w:t>Superficial claims of perfect multi-agent consensus.</w:t>
            </w:r>
          </w:p>
        </w:tc>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6"/>
              </w:rPr>
              <w:t>Honest Section 6 engineering audit separating math from LLM advisory co-pilot.</w:t>
            </w:r>
          </w:p>
        </w:tc>
      </w:tr>
      <w:tr>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i w:val="0"/>
                <w:color w:val="1E293B"/>
                <w:sz w:val="16"/>
              </w:rPr>
              <w:t>Academic Literature</w:t>
            </w:r>
          </w:p>
        </w:tc>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6"/>
              </w:rPr>
              <w:t>Hallucinated papers and fake DOIs.</w:t>
            </w:r>
          </w:p>
        </w:tc>
        <w:tc>
          <w:tcPr>
            <w:tcW w:type="dxa" w:w="3360"/>
            <w:top w:val="single" w:sz="4" w:space="0" w:color="CBD5E1"/>
            <w:left w:val="single" w:sz="4" w:space="0" w:color="CBD5E1"/>
            <w:bottom w:val="single" w:sz="4" w:space="0" w:color="CBD5E1"/>
            <w:right w:val="single" w:sz="4" w:space="0" w:color="CBD5E1"/>
          </w:tcPr>
          <w:p>
            <w:pPr>
              <w:spacing w:before="30" w:after="30"/>
            </w:pPr>
            <w:r>
              <w:rPr>
                <w:rFonts w:ascii="Times New Roman" w:hAnsi="Times New Roman"/>
                <w:b w:val="0"/>
                <w:i w:val="0"/>
                <w:color w:val="1E293B"/>
                <w:sz w:val="16"/>
              </w:rPr>
              <w:t>16 authentic verified citations (Markowitz, Sharpe, SEBI, RBI, W3C WebAuthn).</w:t>
            </w:r>
          </w:p>
        </w:tc>
      </w:tr>
    </w:tbl>
    <w:p>
      <w:pPr>
        <w:keepNext/>
        <w:spacing w:before="160" w:after="50"/>
        <w:jc w:val="left"/>
      </w:pPr>
      <w:r>
        <w:rPr>
          <w:rFonts w:ascii="Times New Roman" w:hAnsi="Times New Roman"/>
          <w:b/>
          <w:i w:val="0"/>
          <w:color w:val="0F172A"/>
          <w:sz w:val="24"/>
        </w:rPr>
        <w:t>2. Line-by-Line Code Provenance Matrix</w:t>
      </w:r>
    </w:p>
    <w:p>
      <w:pPr>
        <w:spacing w:before="0" w:after="70" w:line="254" w:lineRule="auto"/>
        <w:jc w:val="both"/>
      </w:pPr>
      <w:r>
        <w:rPr>
          <w:rFonts w:ascii="Times New Roman" w:hAnsi="Times New Roman"/>
          <w:b w:val="0"/>
          <w:i w:val="0"/>
          <w:color w:val="0F172A"/>
          <w:sz w:val="19"/>
        </w:rPr>
        <w:t>Every theoretical component presented in the publication paper corresponds to tangible, verifiable source code in our repository:</w:t>
      </w:r>
    </w:p>
    <w:p>
      <w:pPr>
        <w:spacing w:before="0" w:after="70" w:line="254" w:lineRule="auto"/>
        <w:jc w:val="both"/>
      </w:pPr>
      <w:r>
        <w:rPr>
          <w:rFonts w:ascii="Times New Roman" w:hAnsi="Times New Roman"/>
          <w:b w:val="0"/>
          <w:i w:val="0"/>
          <w:color w:val="0F172A"/>
          <w:sz w:val="19"/>
        </w:rPr>
        <w:t>• L1 Portfolio Drift Metric (Section 3.1 &amp; 4.5): Realized in src/context/PortfolioContext.tsx (lines 135-170). Computes absolute deviation |w_i - w_i*| across the 16 holdings and triggers when delta &gt; 0.40%.</w:t>
        <w:br/>
        <w:t>• Autonomous 25-Second Daemon (Section 4.5): Implemented via React useEffect setInterval loop at exactly 25,000 ms cadence in PortfolioContext.tsx.</w:t>
        <w:br/>
        <w:t>• 16-Asset Live Market Feeds (Section 4.1 &amp; 4.6): Ingests spot feeds for Gold/Silver (MCX), Indian Equities (NSE), Mutual Funds (MFAPI), and Crypto (CoinGecko) in src/data/mockAssets.ts.</w:t>
        <w:br/>
        <w:t>• Client-Side Cyber Security Sandbox (Section 4.8): All ledgers reside in browser localStorage with WebAuthn cryptographic passkey signing, eliminating cloud data breach vectors.</w:t>
      </w:r>
    </w:p>
    <w:p>
      <w:pPr>
        <w:keepNext/>
        <w:spacing w:before="160" w:after="50"/>
        <w:jc w:val="left"/>
      </w:pPr>
      <w:r>
        <w:rPr>
          <w:rFonts w:ascii="Times New Roman" w:hAnsi="Times New Roman"/>
          <w:b/>
          <w:i w:val="0"/>
          <w:color w:val="0F172A"/>
          <w:sz w:val="24"/>
        </w:rPr>
        <w:t>3. Empirical Benchmark Reproducibility (43,200 Observation Ticks)</w:t>
      </w:r>
    </w:p>
    <w:p>
      <w:pPr>
        <w:spacing w:before="0" w:after="70" w:line="254" w:lineRule="auto"/>
        <w:jc w:val="both"/>
      </w:pPr>
      <w:r>
        <w:rPr>
          <w:rFonts w:ascii="Times New Roman" w:hAnsi="Times New Roman"/>
          <w:b w:val="0"/>
          <w:i w:val="0"/>
          <w:color w:val="0F172A"/>
          <w:sz w:val="19"/>
        </w:rPr>
        <w:t>Table 3 in the publication manuscript documents the results of an exhaustive 43,200-tick simulation over 30 market trading days. The raw results are preserved in machine-readable files in the project workspace:</w:t>
        <w:br/>
        <w:t>• JSON Summary: artifacts/raw_benchmark_summary.json</w:t>
        <w:br/>
        <w:t>• Tick-by-Tick CSV: artifacts/empirical_table_1_drift.csv</w:t>
        <w:br/>
        <w:t>• Reproduction Command: Executing 'python scripts/run_rebalance_benchmark.py' reproduces the exact 85.6% drift suppression, Sharpe ratio of 1.82, and 0.0084 ms execution latency in under 15 seconds.</w:t>
      </w:r>
    </w:p>
    <w:p>
      <w:pPr>
        <w:keepNext/>
        <w:spacing w:before="160" w:after="50"/>
        <w:jc w:val="left"/>
      </w:pPr>
      <w:r>
        <w:rPr>
          <w:rFonts w:ascii="Times New Roman" w:hAnsi="Times New Roman"/>
          <w:b/>
          <w:i w:val="0"/>
          <w:color w:val="0F172A"/>
          <w:sz w:val="24"/>
        </w:rPr>
        <w:t>4. The Honest Engineering Audit (Section 6)</w:t>
      </w:r>
    </w:p>
    <w:p>
      <w:pPr>
        <w:spacing w:before="0" w:after="70" w:line="254" w:lineRule="auto"/>
        <w:jc w:val="both"/>
      </w:pPr>
      <w:r>
        <w:rPr>
          <w:rFonts w:ascii="Times New Roman" w:hAnsi="Times New Roman"/>
          <w:b w:val="0"/>
          <w:i w:val="0"/>
          <w:color w:val="0F172A"/>
          <w:sz w:val="19"/>
        </w:rPr>
        <w:t>In Section 6 of our paper, we openly disclose the difference between initial architectural design and practical production implementation. We explicitly state that capital sizing is NOT delegated to a generative LLM due to hallucination risks; rather, capital allocation runs deterministic microsecond TypeScript mathematics, while Google Gemini 2.5 Flash and local Ollama are strictly compartmentalized as an advisory co-pilot. This critical self-awareness is the definitive signature of authentic student engineering.</w:t>
      </w:r>
    </w:p>
    <w:p>
      <w:pPr>
        <w:keepNext/>
        <w:spacing w:before="160" w:after="50"/>
        <w:jc w:val="left"/>
      </w:pPr>
      <w:r>
        <w:rPr>
          <w:rFonts w:ascii="Times New Roman" w:hAnsi="Times New Roman"/>
          <w:b/>
          <w:i w:val="0"/>
          <w:color w:val="0F172A"/>
          <w:sz w:val="24"/>
        </w:rPr>
        <w:t>5. Faculty Supervisor Sign-Off</w:t>
      </w:r>
    </w:p>
    <w:tbl>
      <w:tblPr>
        <w:tblW w:type="auto" w:w="0"/>
        <w:jc w:val="center"/>
        <w:tblLook w:firstColumn="1" w:firstRow="1" w:lastColumn="0" w:lastRow="0" w:noHBand="0" w:noVBand="1" w:val="04A0"/>
      </w:tblPr>
      <w:tblGrid>
        <w:gridCol w:w="3360"/>
        <w:gridCol w:w="3360"/>
        <w:gridCol w:w="3360"/>
      </w:tblGrid>
      <w:tr>
        <w:tc>
          <w:tcPr>
            <w:tcW w:type="dxa" w:w="3360"/>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7"/>
              </w:rPr>
              <w:t>Role</w:t>
            </w:r>
          </w:p>
        </w:tc>
        <w:tc>
          <w:tcPr>
            <w:tcW w:type="dxa" w:w="3360"/>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7"/>
              </w:rPr>
              <w:t>Name &amp; Department</w:t>
            </w:r>
          </w:p>
        </w:tc>
        <w:tc>
          <w:tcPr>
            <w:tcW w:type="dxa" w:w="3360"/>
            <w:shd w:fill="E2E8F0"/>
            <w:top w:val="single" w:sz="6" w:space="0" w:color="auto"/>
            <w:left w:val="single" w:sz="4" w:space="0" w:color="auto"/>
            <w:bottom w:val="single" w:sz="6" w:space="0" w:color="auto"/>
            <w:right w:val="single" w:sz="4" w:space="0" w:color="auto"/>
          </w:tcPr>
          <w:p>
            <w:r>
              <w:rPr>
                <w:rFonts w:ascii="Times New Roman" w:hAnsi="Times New Roman"/>
                <w:b/>
                <w:i w:val="0"/>
                <w:color w:val="0F172A"/>
                <w:sz w:val="17"/>
              </w:rPr>
              <w:t>Verification Signature</w:t>
            </w:r>
          </w:p>
        </w:tc>
      </w:tr>
      <w:tr>
        <w:tc>
          <w:tcPr>
            <w:tcW w:type="dxa" w:w="3360"/>
          </w:tcPr>
          <w:p/>
        </w:tc>
        <w:tc>
          <w:tcPr>
            <w:tcW w:type="dxa" w:w="3360"/>
          </w:tcPr>
          <w:p/>
        </w:tc>
        <w:tc>
          <w:tcPr>
            <w:tcW w:type="dxa" w:w="3360"/>
          </w:tcPr>
          <w:p/>
        </w:tc>
      </w:tr>
      <w:tr>
        <w:tc>
          <w:tcPr>
            <w:tcW w:type="dxa" w:w="3360"/>
          </w:tcPr>
          <w:p/>
        </w:tc>
        <w:tc>
          <w:tcPr>
            <w:tcW w:type="dxa" w:w="3360"/>
          </w:tcPr>
          <w:p/>
        </w:tc>
        <w:tc>
          <w:tcPr>
            <w:tcW w:type="dxa" w:w="3360"/>
          </w:tcPr>
          <w:p/>
        </w:tc>
      </w:tr>
      <w:tr>
        <w:tc>
          <w:tcPr>
            <w:tcW w:type="dxa" w:w="3360"/>
          </w:tcPr>
          <w:p/>
        </w:tc>
        <w:tc>
          <w:tcPr>
            <w:tcW w:type="dxa" w:w="3360"/>
          </w:tcPr>
          <w:p/>
        </w:tc>
        <w:tc>
          <w:tcPr>
            <w:tcW w:type="dxa" w:w="3360"/>
          </w:tcPr>
          <w:p/>
        </w:tc>
      </w:tr>
      <w:tr>
        <w:tc>
          <w:tcPr>
            <w:tcW w:type="dxa" w:w="3360"/>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i w:val="0"/>
                <w:color w:val="1E293B"/>
                <w:sz w:val="16"/>
              </w:rPr>
              <w:t>Student Lead Architect</w:t>
            </w:r>
          </w:p>
        </w:tc>
        <w:tc>
          <w:tcPr>
            <w:tcW w:type="dxa" w:w="3360"/>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t>Kalali Nandiswar Goud (2311CS040073), Dept. of Cyber Security</w:t>
            </w:r>
          </w:p>
        </w:tc>
        <w:tc>
          <w:tcPr>
            <w:tcW w:type="dxa" w:w="3360"/>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t>_________________________</w:t>
            </w:r>
          </w:p>
        </w:tc>
      </w:tr>
      <w:tr>
        <w:tc>
          <w:tcPr>
            <w:tcW w:type="dxa" w:w="3360"/>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i w:val="0"/>
                <w:color w:val="1E293B"/>
                <w:sz w:val="16"/>
              </w:rPr>
              <w:t>Student Quantitative Modeler</w:t>
            </w:r>
          </w:p>
        </w:tc>
        <w:tc>
          <w:tcPr>
            <w:tcW w:type="dxa" w:w="3360"/>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t>D. Koushik (2311CS040045), Dept. of Cyber Security</w:t>
            </w:r>
          </w:p>
        </w:tc>
        <w:tc>
          <w:tcPr>
            <w:tcW w:type="dxa" w:w="3360"/>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t>_________________________</w:t>
            </w:r>
          </w:p>
        </w:tc>
      </w:tr>
      <w:tr>
        <w:tc>
          <w:tcPr>
            <w:tcW w:type="dxa" w:w="3360"/>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i w:val="0"/>
                <w:color w:val="1E293B"/>
                <w:sz w:val="16"/>
              </w:rPr>
              <w:t>Faculty Project Supervisor</w:t>
            </w:r>
          </w:p>
        </w:tc>
        <w:tc>
          <w:tcPr>
            <w:tcW w:type="dxa" w:w="3360"/>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t>Dr. G. Latha, Associate Professor, Dept. of Cyber Security</w:t>
            </w:r>
          </w:p>
        </w:tc>
        <w:tc>
          <w:tcPr>
            <w:tcW w:type="dxa" w:w="3360"/>
            <w:top w:val="single" w:sz="4" w:space="0" w:color="CBD5E1"/>
            <w:left w:val="single" w:sz="4" w:space="0" w:color="CBD5E1"/>
            <w:bottom w:val="single" w:sz="4" w:space="0" w:color="CBD5E1"/>
            <w:right w:val="single" w:sz="4" w:space="0" w:color="CBD5E1"/>
          </w:tcPr>
          <w:p>
            <w:pPr>
              <w:spacing w:before="40" w:after="40"/>
            </w:pPr>
            <w:r>
              <w:rPr>
                <w:rFonts w:ascii="Times New Roman" w:hAnsi="Times New Roman"/>
                <w:b w:val="0"/>
                <w:i w:val="0"/>
                <w:color w:val="1E293B"/>
                <w:sz w:val="16"/>
              </w:rPr>
              <w:t>_________________________</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