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Calibri" w:hAnsi="Calibri"/>
          <w:color w:val="64748B"/>
          <w:sz w:val="26"/>
        </w:rPr>
        <w:t>A Major Project Phase 1 Report on</w:t>
        <w:br/>
      </w:r>
    </w:p>
    <w:p>
      <w:pPr>
        <w:spacing w:before="80" w:after="200"/>
        <w:jc w:val="center"/>
      </w:pPr>
      <w:r>
        <w:rPr>
          <w:rFonts w:ascii="Calibri" w:hAnsi="Calibri"/>
          <w:b/>
          <w:color w:val="1F4E79"/>
          <w:sz w:val="33"/>
        </w:rPr>
        <w:t>WEALTHOS: AUTONOMOUS MULTI-ASSET PORTFOLIO REBALANCING AND WEALTH MANAGEMENT PLATFORM DRIVEN BY AGENTIC AI AND REAL-TIME MARKET DATA</w:t>
      </w:r>
    </w:p>
    <w:p>
      <w:pPr>
        <w:spacing w:before="120" w:after="160"/>
        <w:jc w:val="center"/>
      </w:pPr>
      <w:r>
        <w:drawing>
          <wp:inline xmlns:a="http://schemas.openxmlformats.org/drawingml/2006/main" xmlns:pic="http://schemas.openxmlformats.org/drawingml/2006/picture">
            <wp:extent cx="1645920" cy="1268729"/>
            <wp:docPr id="1" name="Picture 1"/>
            <wp:cNvGraphicFramePr>
              <a:graphicFrameLocks noChangeAspect="1"/>
            </wp:cNvGraphicFramePr>
            <a:graphic>
              <a:graphicData uri="http://schemas.openxmlformats.org/drawingml/2006/picture">
                <pic:pic>
                  <pic:nvPicPr>
                    <pic:cNvPr id="0" name="mru_logo.png"/>
                    <pic:cNvPicPr/>
                  </pic:nvPicPr>
                  <pic:blipFill>
                    <a:blip r:embed="rId11"/>
                    <a:stretch>
                      <a:fillRect/>
                    </a:stretch>
                  </pic:blipFill>
                  <pic:spPr>
                    <a:xfrm>
                      <a:off x="0" y="0"/>
                      <a:ext cx="1645920" cy="1268729"/>
                    </a:xfrm>
                    <a:prstGeom prst="rect"/>
                  </pic:spPr>
                </pic:pic>
              </a:graphicData>
            </a:graphic>
          </wp:inline>
        </w:drawing>
      </w:r>
    </w:p>
    <w:p>
      <w:pPr>
        <w:spacing w:before="80" w:after="200"/>
        <w:jc w:val="center"/>
      </w:pPr>
      <w:r>
        <w:rPr>
          <w:rFonts w:ascii="Calibri" w:hAnsi="Calibri"/>
          <w:b/>
          <w:color w:val="334155"/>
          <w:sz w:val="22"/>
        </w:rPr>
        <w:t>Submitted in partial fulfillment of the requirements for the award of degree of</w:t>
        <w:br/>
        <w:t>BACHELOR OF TECHNOLOGY</w:t>
        <w:br/>
        <w:t>in</w:t>
        <w:br/>
        <w:t>COMPUTER SCIENCE &amp; ENGINEERING (CYBER SECURITY)</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none"/>
          <w:left w:val="none"/>
          <w:right w:val="none"/>
        </w:tblBorders>
      </w:tblPr>
      <w:tblGrid>
        <w:gridCol w:w="4406"/>
        <w:gridCol w:w="4406"/>
      </w:tblGrid>
      <w:tr>
        <w:tc>
          <w:tcPr>
            <w:tcW w:type="dxa" w:w="4608"/>
          </w:tcPr>
          <w:p>
            <w:pPr>
              <w:jc w:val="left"/>
            </w:pPr>
            <w:r>
              <w:rPr>
                <w:rFonts w:ascii="Calibri" w:hAnsi="Calibri"/>
                <w:b/>
                <w:color w:val="1F4E79"/>
                <w:sz w:val="21"/>
              </w:rPr>
              <w:t>DESIGNED &amp; DEVELOPED BY:</w:t>
            </w:r>
          </w:p>
        </w:tc>
        <w:tc>
          <w:tcPr>
            <w:tcW w:type="dxa" w:w="4176"/>
          </w:tcPr>
          <w:p>
            <w:pPr>
              <w:jc w:val="left"/>
            </w:pPr>
            <w:r>
              <w:rPr>
                <w:rFonts w:ascii="Calibri" w:hAnsi="Calibri"/>
                <w:b/>
                <w:color w:val="1F4E79"/>
                <w:sz w:val="21"/>
              </w:rPr>
              <w:t>UNDER THE GUIDANCE OF:</w:t>
            </w:r>
          </w:p>
        </w:tc>
      </w:tr>
      <w:tr>
        <w:tc>
          <w:tcPr>
            <w:tcW w:type="dxa" w:w="4608"/>
          </w:tcPr>
          <w:p>
            <w:pPr>
              <w:spacing w:line="276" w:lineRule="auto"/>
              <w:jc w:val="left"/>
            </w:pPr>
            <w:r>
              <w:rPr>
                <w:sz w:val="20"/>
              </w:rPr>
              <w:t>• KALALI NANDISWAR GOUD  (2311CS040073)</w:t>
              <w:br/>
              <w:t>• D. KOUSHIK            (2311CS040045)</w:t>
              <w:br/>
              <w:t>• K. JYOTHI PRIYA       (2311CS040076)</w:t>
              <w:br/>
              <w:t>B.Tech IV Year, CSE (Cyber Security)</w:t>
            </w:r>
          </w:p>
        </w:tc>
        <w:tc>
          <w:tcPr>
            <w:tcW w:type="dxa" w:w="4176"/>
          </w:tcPr>
          <w:p>
            <w:pPr>
              <w:spacing w:line="276" w:lineRule="auto"/>
              <w:jc w:val="left"/>
            </w:pPr>
            <w:r>
              <w:rPr>
                <w:sz w:val="20"/>
              </w:rPr>
              <w:t>Dr. G. LATHA</w:t>
              <w:br/>
              <w:t>Associate Faculty</w:t>
              <w:br/>
              <w:t>Department of Computer Science &amp; Engineering</w:t>
              <w:br/>
              <w:t>School of Engineering</w:t>
            </w:r>
          </w:p>
        </w:tc>
      </w:tr>
    </w:tbl>
    <w:p>
      <w:pPr>
        <w:spacing w:before="320" w:after="40"/>
        <w:jc w:val="center"/>
      </w:pPr>
      <w:r>
        <w:rPr>
          <w:rFonts w:ascii="Calibri" w:hAnsi="Calibri"/>
          <w:b/>
          <w:color w:val="1F4E79"/>
          <w:sz w:val="22"/>
        </w:rPr>
        <w:t>DEPARTMENT OF COMPUTER SCIENCE &amp; ENGINEERING (CYBER SECURITY)</w:t>
        <w:br/>
        <w:t>SCHOOL OF ENGINEERING</w:t>
        <w:br/>
        <w:t>MALLA REDDY UNIVERSITY, HYDERABAD</w:t>
        <w:br/>
        <w:t>2025–2026</w:t>
      </w:r>
    </w:p>
    <w:p>
      <w:pPr>
        <w:sectPr>
          <w:headerReference w:type="default" r:id="rId9"/>
          <w:footerReference w:type="default" r:id="rId10"/>
          <w:pgSz w:w="11909" w:h="16834"/>
          <w:pgMar w:top="1440" w:right="1440" w:bottom="1440" w:left="1656" w:header="720" w:footer="720" w:gutter="0"/>
          <w:cols w:space="720"/>
          <w:titlePg/>
          <w:docGrid w:linePitch="360"/>
        </w:sectPr>
      </w:pPr>
    </w:p>
    <w:p>
      <w:pPr>
        <w:spacing w:before="120" w:after="40"/>
        <w:jc w:val="center"/>
      </w:pPr>
      <w:r>
        <w:rPr>
          <w:rFonts w:ascii="Calibri" w:hAnsi="Calibri"/>
          <w:b/>
          <w:color w:val="1F4E79"/>
          <w:sz w:val="23"/>
        </w:rPr>
        <w:t>MALLA REDDY UNIVERSITY</w:t>
        <w:br/>
        <w:t>SCHOOL OF ENGINEERING</w:t>
        <w:br/>
        <w:t>DEPARTMENT OF COMPUTER SCIENCE &amp; ENGINEERING (CYBER SECURITY)</w:t>
      </w:r>
    </w:p>
    <w:p>
      <w:pPr>
        <w:spacing w:before="280" w:after="320"/>
        <w:jc w:val="center"/>
      </w:pPr>
      <w:r>
        <w:rPr>
          <w:rFonts w:ascii="Calibri" w:hAnsi="Calibri"/>
          <w:b/>
          <w:color w:val="1F4E79"/>
          <w:sz w:val="32"/>
        </w:rPr>
        <w:t>CERTIFICATE</w:t>
      </w:r>
    </w:p>
    <w:p>
      <w:pPr>
        <w:spacing w:before="0" w:after="240" w:line="276" w:lineRule="auto"/>
        <w:jc w:val="both"/>
      </w:pPr>
      <w:r>
        <w:rPr>
          <w:rFonts w:ascii="Calibri" w:hAnsi="Calibri"/>
          <w:color w:val="1E293B"/>
          <w:sz w:val="22"/>
        </w:rPr>
        <w:t>This is to certify that this is the bonafide record of the Major Project Phase 1 application development project entitled "WealthOS: Autonomous Multi-Asset Portfolio Rebalancing and Wealth Management Platform Driven by Agentic AI and Real-Time Market Data" submitted by Kalali Nandiswar Goud (2311CS040073), D. Koushik (2311CS040045), and K. Jyothi Priya (2311CS040076) of B.Tech IV Year (Cyber Security), Department of Computer Science &amp; Engineering, School of Engineering, Malla Reddy University, Hyderabad during the academic year 2025–2026.</w:t>
      </w:r>
    </w:p>
    <w:p>
      <w:pPr>
        <w:spacing w:before="0" w:after="640" w:line="276" w:lineRule="auto"/>
        <w:jc w:val="both"/>
      </w:pPr>
      <w:r>
        <w:rPr>
          <w:rFonts w:ascii="Calibri" w:hAnsi="Calibri"/>
          <w:color w:val="1E293B"/>
          <w:sz w:val="22"/>
        </w:rPr>
        <w:t>The project work embodied in this report has been carried out under our supervision and guidance, and has satisfied all the academic requirements laid down by the University. The results embodied in this report have not been submitted to any other university or institute for the award of any other degree or diploma.</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none"/>
          <w:left w:val="none"/>
          <w:right w:val="none"/>
        </w:tblBorders>
      </w:tblPr>
      <w:tblGrid>
        <w:gridCol w:w="2938"/>
        <w:gridCol w:w="2938"/>
        <w:gridCol w:w="2938"/>
      </w:tblGrid>
      <w:tr>
        <w:tc>
          <w:tcPr>
            <w:tcW w:type="dxa" w:w="2952"/>
          </w:tcPr>
          <w:p>
            <w:r>
              <w:rPr>
                <w:sz w:val="20"/>
              </w:rPr>
              <w:t>_____________________</w:t>
              <w:br/>
              <w:t>Dr. G. Latha</w:t>
              <w:br/>
              <w:t>Internal Guide</w:t>
              <w:br/>
              <w:t>Associate Faculty, CSE</w:t>
            </w:r>
          </w:p>
        </w:tc>
        <w:tc>
          <w:tcPr>
            <w:tcW w:type="dxa" w:w="2952"/>
          </w:tcPr>
          <w:p>
            <w:r>
              <w:rPr>
                <w:sz w:val="20"/>
              </w:rPr>
              <w:t>_____________________</w:t>
              <w:br/>
              <w:t>Project Coordinator</w:t>
              <w:br/>
              <w:t>Dept. of Cyber Security</w:t>
            </w:r>
          </w:p>
        </w:tc>
        <w:tc>
          <w:tcPr>
            <w:tcW w:type="dxa" w:w="2952"/>
          </w:tcPr>
          <w:p>
            <w:r>
              <w:rPr>
                <w:sz w:val="20"/>
              </w:rPr>
              <w:t>_____________________</w:t>
              <w:br/>
              <w:t>Dr. G. Anand Kumar</w:t>
              <w:br/>
              <w:t>Dean &amp; Professor</w:t>
              <w:br/>
              <w:t>School of Engineering</w:t>
            </w:r>
          </w:p>
        </w:tc>
      </w:tr>
      <w:tr>
        <w:tc>
          <w:tcPr>
            <w:tcW w:type="dxa" w:w="2952"/>
          </w:tcPr>
          <w:p/>
        </w:tc>
        <w:tc>
          <w:tcPr>
            <w:tcW w:type="dxa" w:w="2952"/>
          </w:tcPr>
          <w:p>
            <w:pPr>
              <w:jc w:val="center"/>
            </w:pPr>
            <w:r>
              <w:rPr>
                <w:b/>
                <w:sz w:val="20"/>
              </w:rPr>
              <w:br/>
              <w:br/>
              <w:t>_____________________</w:t>
              <w:br/>
              <w:t>EXTERNAL EXAMINER</w:t>
            </w:r>
          </w:p>
        </w:tc>
        <w:tc>
          <w:tcPr>
            <w:tcW w:type="dxa" w:w="2952"/>
          </w:tcPr>
          <w:p/>
        </w:tc>
      </w:tr>
    </w:tbl>
    <w:p>
      <w:r>
        <w:br w:type="page"/>
      </w:r>
    </w:p>
    <w:p>
      <w:pPr>
        <w:spacing w:before="240" w:after="360"/>
        <w:jc w:val="center"/>
      </w:pPr>
      <w:r>
        <w:rPr>
          <w:rFonts w:ascii="Calibri" w:hAnsi="Calibri"/>
          <w:b/>
          <w:color w:val="1F4E79"/>
          <w:sz w:val="32"/>
        </w:rPr>
        <w:t>DECLARATION</w:t>
      </w:r>
    </w:p>
    <w:p>
      <w:pPr>
        <w:spacing w:before="0" w:after="240" w:line="276" w:lineRule="auto"/>
        <w:jc w:val="both"/>
      </w:pPr>
      <w:r>
        <w:rPr>
          <w:rFonts w:ascii="Calibri" w:hAnsi="Calibri"/>
          <w:color w:val="1E293B"/>
          <w:sz w:val="22"/>
        </w:rPr>
        <w:t>We hereby declare that the project report entitled "WealthOS: Autonomous Multi-Asset Portfolio Rebalancing and Wealth Management Platform Driven by Agentic AI and Real-Time Market Data" has been designed, developed, and evaluated by us, and is submitted to the Department of Computer Science &amp; Engineering (Cyber Security), School of Engineering, Malla Reddy University, Hyderabad.</w:t>
      </w:r>
    </w:p>
    <w:p>
      <w:pPr>
        <w:spacing w:before="0" w:after="480" w:line="276" w:lineRule="auto"/>
        <w:jc w:val="both"/>
      </w:pPr>
      <w:r>
        <w:rPr>
          <w:rFonts w:ascii="Calibri" w:hAnsi="Calibri"/>
          <w:color w:val="1E293B"/>
          <w:sz w:val="22"/>
        </w:rPr>
        <w:t>This project work has been carried out as part of our B.Tech curriculum requirements for Major Project Phase 1. We further confirm that this manuscript represents our original work, and that the code, mathematical algorithms, architectural schematics, test cases, and simulation models described herein have not been plagiarized or submitted in full or part for the award of any other degree or certification at any other educational institution or university.</w:t>
      </w:r>
    </w:p>
    <w:p>
      <w:pPr>
        <w:spacing w:after="40"/>
      </w:pPr>
      <w:r>
        <w:rPr>
          <w:sz w:val="21"/>
        </w:rPr>
        <w:t>Place: Hyderabad</w:t>
        <w:br/>
        <w:t>Date: 17th October 2026</w:t>
      </w:r>
    </w:p>
    <w:p>
      <w:pPr>
        <w:spacing w:before="360" w:line="288" w:lineRule="auto"/>
        <w:jc w:val="right"/>
      </w:pPr>
      <w:r>
        <w:rPr>
          <w:b/>
          <w:sz w:val="21"/>
        </w:rPr>
        <w:t>Kalali Nandiswar Goud  (2311CS040073)</w:t>
        <w:br/>
        <w:t>D. Koushik            (2311CS040045)</w:t>
        <w:br/>
        <w:t>K. Jyothi Priya       (2311CS040076)</w:t>
        <w:br/>
        <w:t>Department of CSE (Cyber Security)</w:t>
      </w:r>
    </w:p>
    <w:p>
      <w:r>
        <w:br w:type="page"/>
      </w:r>
    </w:p>
    <w:p>
      <w:pPr>
        <w:spacing w:before="240" w:after="360"/>
        <w:jc w:val="center"/>
      </w:pPr>
      <w:r>
        <w:rPr>
          <w:rFonts w:ascii="Calibri" w:hAnsi="Calibri"/>
          <w:b/>
          <w:color w:val="1F4E79"/>
          <w:sz w:val="32"/>
        </w:rPr>
        <w:t>ACKNOWLEDGEMENT</w:t>
      </w:r>
    </w:p>
    <w:p>
      <w:pPr>
        <w:spacing w:before="0" w:after="200" w:line="276" w:lineRule="auto"/>
        <w:jc w:val="both"/>
      </w:pPr>
      <w:r>
        <w:rPr>
          <w:rFonts w:ascii="Calibri" w:hAnsi="Calibri"/>
          <w:color w:val="1E293B"/>
          <w:sz w:val="22"/>
        </w:rPr>
        <w:t>We express our profound and sincere gratitude to Dr. V. S. K. Reddy, Hon'ble Vice Chancellor of Malla Reddy University, for his inspirational leadership, vision for advanced computational research, and creating a world-class academic environment that encourages cutting-edge student innovation in artificial intelligence and cybersecurity.</w:t>
      </w:r>
    </w:p>
    <w:p>
      <w:pPr>
        <w:spacing w:before="0" w:after="200" w:line="276" w:lineRule="auto"/>
        <w:jc w:val="both"/>
      </w:pPr>
      <w:r>
        <w:rPr>
          <w:rFonts w:ascii="Calibri" w:hAnsi="Calibri"/>
          <w:color w:val="1E293B"/>
          <w:sz w:val="22"/>
        </w:rPr>
        <w:t>We are deeply indebted to our respected project guide, Dr. G. Latha, Associate Faculty, Department of Computer Science &amp; Engineering, whose continuous guidance, technical insights, incisive feedback, and constant encouragement provided the foundational direction for formulating our autonomous rebalancing engine and edge-first zero-knowledge architecture.</w:t>
      </w:r>
    </w:p>
    <w:p>
      <w:pPr>
        <w:spacing w:before="0" w:after="200" w:line="276" w:lineRule="auto"/>
        <w:jc w:val="both"/>
      </w:pPr>
      <w:r>
        <w:rPr>
          <w:rFonts w:ascii="Calibri" w:hAnsi="Calibri"/>
          <w:color w:val="1E293B"/>
          <w:sz w:val="22"/>
        </w:rPr>
        <w:t>We extend our heartfelt gratitude to Dr. G. Anand Kumar, Dean and Professor, School of Engineering, for granting administrative support, advanced lab infrastructure, and constant academic mentorship. We also thank our Project Review Committee (PRC) Convenor and Project Coordinator for their rigorous milestone reviews, insightful architectural recommendations, and timely evaluation.</w:t>
      </w:r>
    </w:p>
    <w:p>
      <w:pPr>
        <w:spacing w:before="0" w:after="400" w:line="276" w:lineRule="auto"/>
        <w:jc w:val="both"/>
      </w:pPr>
      <w:r>
        <w:rPr>
          <w:rFonts w:ascii="Calibri" w:hAnsi="Calibri"/>
          <w:color w:val="1E293B"/>
          <w:sz w:val="22"/>
        </w:rPr>
        <w:t>Finally, we express our profound gratitude to our parents, family members, faculty colleagues, and fellow peers in the Cyber Security department whose moral encouragement, patience, and unstinting support made the successful completion of this project possible.</w:t>
      </w:r>
    </w:p>
    <w:p>
      <w:pPr>
        <w:spacing w:line="276" w:lineRule="auto"/>
        <w:jc w:val="right"/>
      </w:pPr>
      <w:r>
        <w:rPr>
          <w:b/>
          <w:sz w:val="21"/>
        </w:rPr>
        <w:t>Kalali Nandiswar Goud  (2311CS040073)</w:t>
        <w:br/>
        <w:t>D. Koushik            (2311CS040045)</w:t>
        <w:br/>
        <w:t>K. Jyothi Priya       (2311CS040076)</w:t>
      </w:r>
    </w:p>
    <w:p>
      <w:r>
        <w:br w:type="page"/>
      </w:r>
    </w:p>
    <w:p>
      <w:pPr>
        <w:spacing w:before="240" w:after="320"/>
        <w:jc w:val="center"/>
      </w:pPr>
      <w:r>
        <w:rPr>
          <w:rFonts w:ascii="Calibri" w:hAnsi="Calibri"/>
          <w:b/>
          <w:color w:val="1F4E79"/>
          <w:sz w:val="32"/>
        </w:rPr>
        <w:t>ABSTRACT</w:t>
      </w:r>
    </w:p>
    <w:p>
      <w:pPr>
        <w:spacing w:before="0" w:after="200" w:line="276" w:lineRule="auto"/>
        <w:jc w:val="both"/>
      </w:pPr>
      <w:r>
        <w:rPr>
          <w:rFonts w:ascii="Calibri" w:hAnsi="Calibri"/>
          <w:color w:val="1E293B"/>
          <w:sz w:val="22"/>
        </w:rPr>
        <w:t>Modern retail investment portfolios are increasingly fragmented across heterogeneous, asynchronous asset classes—spanning 24/7 cryptocurrency tokens, Indian equity equities (NSE/BSE), mutual fund Net Asset Values (MFAPI), and bullion precious metals (Gold/Silver). Because these disparate asset classes operate under fundamentally divergent trading sessions, market depth, and volatility regimes, actual portfolio allocations drift rapidly away from the investor's intended target risk-return weights. While classical Modern Portfolio Theory (MPT) mandates periodic rebalancing to enforce risk boundaries, retail investors face significant cognitive fatigue, manual execution friction, and tax inefficiencies when calculating cross-asset delta orders across multiple isolated brokerages. Furthermore, existing commercial robo-advisory solutions suffer from centralized cloud vulnerabilities—storing sensitive KYC, banking credentials, and real-time net-worth data on external servers—while executing opaque, infrequent (monthly or quarterly) rebalances without transparent reasoning.</w:t>
      </w:r>
    </w:p>
    <w:p>
      <w:pPr>
        <w:spacing w:before="0" w:after="200" w:line="276" w:lineRule="auto"/>
        <w:jc w:val="both"/>
      </w:pPr>
      <w:r>
        <w:rPr>
          <w:rFonts w:ascii="Calibri" w:hAnsi="Calibri"/>
          <w:color w:val="1E293B"/>
          <w:sz w:val="22"/>
        </w:rPr>
        <w:t>To resolve these fundamental challenges, we present WealthOS, an autonomous, client-side wealth management platform designed to automate multi-asset portfolio monitoring and rebalancing with mathematical rigor and zero cloud privacy exposure. Built entirely on an edge-first architecture leveraging React 19, TypeScript, and the W3C Web Crypto API (AES-GCM-256), WealthOS ensures that all financial holdings, trade ledgers, and private credentials reside strictly within the client's local browser environment. The platform ingests real-time market data across four live feed pipelines and executes an autonomous drift calculation engine on a continuous 25-second heartbeat loop. When an asset's allocation breaches a configurable deadband threshold (tau = 5%), WealthOS formulates optimal delta trade tickets to restore equilibrium without excessive turnover.</w:t>
      </w:r>
    </w:p>
    <w:p>
      <w:pPr>
        <w:spacing w:before="0" w:after="280" w:line="276" w:lineRule="auto"/>
        <w:jc w:val="both"/>
      </w:pPr>
      <w:r>
        <w:rPr>
          <w:rFonts w:ascii="Calibri" w:hAnsi="Calibri"/>
          <w:color w:val="1E293B"/>
          <w:sz w:val="22"/>
        </w:rPr>
        <w:t>WealthOS incorporates a novel Dual-Agentic AI Pipeline: an on-device Large Language Model (Ollama running Qwen 2.5 Coder 7B or Llama 3.2 3B) provides 100% private, edge-inferred trade rationale and risk auditing without data exfiltration, paired with an optional cloud LLM fallback (Google Gemini 1.5 Flash / Groq Llama 3.3 70B) for macroeconomic news synthesis. All executed rebalancing actions are recorded in an immutable, tamper-evident cryptographic transaction ledger with SHA-256 state hashes. Comprehensive empirical evaluation demonstrates that WealthOS suppresses volatility drift from 14.8% to under 1.2% in sub-second execution intervals (&lt; 4.2 ms per tick), preserves zero data egress, and provides verifiable Chain-of-Thought (CoT) auditability for retail investors.</w:t>
      </w:r>
    </w:p>
    <w:p>
      <w:pPr>
        <w:spacing w:before="0" w:after="240" w:line="276" w:lineRule="auto"/>
        <w:jc w:val="both"/>
      </w:pPr>
      <w:r>
        <w:rPr>
          <w:rFonts w:ascii="Calibri" w:hAnsi="Calibri"/>
          <w:b/>
          <w:color w:val="0F172A"/>
          <w:sz w:val="22"/>
        </w:rPr>
        <w:t xml:space="preserve">Index Terms — </w:t>
      </w:r>
      <w:r>
        <w:rPr>
          <w:rFonts w:ascii="Calibri" w:hAnsi="Calibri"/>
          <w:color w:val="1E293B"/>
          <w:sz w:val="22"/>
        </w:rPr>
        <w:t>Keywords: Portfolio Rebalancing, Agentic AI, Autonomous Wealth Management, Client-Side Cryptography, Modern Portfolio Theory, Multi-Asset Drift, Zero-Knowledge Privacy, Local LLM Inference.</w:t>
      </w:r>
    </w:p>
    <w:p>
      <w:r>
        <w:br w:type="page"/>
      </w:r>
    </w:p>
    <w:p>
      <w:pPr>
        <w:spacing w:before="240" w:after="320"/>
        <w:jc w:val="center"/>
      </w:pPr>
      <w:r>
        <w:rPr>
          <w:rFonts w:ascii="Calibri" w:hAnsi="Calibri"/>
          <w:b/>
          <w:color w:val="1F4E79"/>
          <w:sz w:val="32"/>
        </w:rPr>
        <w:t>INDEX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406"/>
        <w:gridCol w:w="4406"/>
      </w:tblGrid>
      <w:tr>
        <w:trPr>
          <w:cantSplit/>
          <w:tblHeader/>
        </w:trPr>
        <w:tc>
          <w:tcPr>
            <w:tcW w:type="dxa" w:w="734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Contents</w:t>
            </w:r>
          </w:p>
        </w:tc>
        <w:tc>
          <w:tcPr>
            <w:tcW w:type="dxa" w:w="144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Page No.</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CHAPTER 1  INTRODUCTION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 – 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1.1  Problem Definition &amp; Mathematical Formulation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1.2  Objective of the Project</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1.3  Scope of the Project</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CHAPTER 2  SYSTEM ANALYSIS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4 – 7</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2.1  Existing System &amp; Literature Survey</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4</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2.1.1  Background &amp; Theoretical Foundations (MPT, ReAct)</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4</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2.1.2  Limitations of Existing Robo-Advisory Platforms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4</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2.2  Proposed System Architecture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4</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2.2.1  Key Advantages of Proposed Edge-First System</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5</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2.3  Software &amp; Hardware Requirements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5</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2.3.1  Software Specifications &amp; Technology Matrix</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5</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2.3.2  Hardware Specifications &amp; Compute Requirements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2.4  Feasibility Study</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2.4.1  Technical Feasibility &amp; Modern Web Standards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2.4.2  Robustness, Resilience &amp; Failover Modeling</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2.4.3  Economic &amp; Operational Feasibility</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CHAPTER 3  ARCHITECTURAL DESIGN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 – 21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  System Modules Design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3.1.1  Authentication &amp; Zero-Knowledge Security Vault</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3.1.2  Multi-Asset Real-Time Ingestion Module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3.1.3  Mathematical Drift &amp; Allocation Engine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3.1.4  Dual-Agentic AI Copilot Module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3.1.5  Autonomous Rebalancing &amp; Order Routing Engine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9</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3.1.6  Interactive MarketWatch &amp; Terminal</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9</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3.1.7  Cryptographic Ledger &amp; Settlement Simulator</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9</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3.1.8  Risk Analytics &amp; Visualisation Engine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9</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3.2  Method &amp; Algorithm Design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9</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Algorithm 3.1: Real-Time Multi-Asset Drift Calculation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9</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Algorithm 3.2: Autonomous Trade Delta Optimization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Algorithm 3.3: Dual-LLM Chain-of-Thought Verification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10</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  Core Architectural Diagrams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11 – 17</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3.3.1  System Architecture Diagram (Figure 3.1)</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11</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3.3.2  Data Flow Diagram Level-1 &amp; Level-2 (Figure 3.2)</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3.3.3  Object-Oriented Class &amp; State Diagram (Figure 3.3)</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3.3.4  System Use Case Diagram (Figure 3.4)</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14</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3.3.5  Rebalancing &amp; Inference Sequence Diagram (Figure 3.5)</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15</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3.3.6  Autonomous Drift Monitoring Activity Diagram (Figure 3.6)</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3.3.7  Algorithmic Execution Flowchart (Figure 3.7)</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17</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  Analytical &amp; Empirical Visualizations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18 – 21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3.4.1  Multi-Asset Target vs. Actual Treemap (Figure 3.8)</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3.4.2  Empirical Drift &amp; Volatility Timeline (Figure 3.9)</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19</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3.4.3  Drift Histogram &amp; Trigger Distribution (Figure 3.10)</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20</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3.4.4  Rebalancing Sensitivity &amp; Slippage Curve (Figure 3.11)</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3.4.5  Client-Side Encryption Hierarchy Tree (Figure 3.12)</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21</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CHAPTER 4  IMPLEMENTATION &amp; TESTING</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22 – 28</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  Full-Stack Technology Stack &amp; Implementation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4.1.1  Frontend Engine (React 19, TypeScript, Vite)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4.1.2  State Management &amp; Local Storage Persistence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4.1.3  Multi-Asset REST &amp; Polling Engine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4.1.4  Client-Side Web Crypto Encryption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4.1.5  Dual-LLM Local/Cloud Orchestration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4.1.6  Tailwind Glassmorphic UI &amp; Visual Analytics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4.2  Core Algorithmic Code Implementation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23</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4.3  Key Service Endpoints &amp; API Route Specifications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24</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  Comprehensive Verification &amp; Testing Suite</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25 – 28</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4.4.1  Unit &amp; Functional Test Cases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25</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4.4.2  Integration &amp; Pipeline Test Cases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4.4.3  Scenario-Based Testing (Stress Tests &amp; Disconnections)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27</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4.4.4  User Acceptance Testing (UAT)</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27</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4.4.5  Performance Benchmarks &amp; Evaluation Metrics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28</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CHAPTER 5  RESULTS &amp; DISCUSSION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29 – 35</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  Resulting Operational Screens &amp; Visual Evidence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29 – 33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5.1.1  Authentication &amp; Vault Initialization (Screenshot 5.1)</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29</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5.1.2  Primary Portfolio Overview Dashboard (Screenshot 5.2)</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30</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5.1.3  Real-Time Drift Engine &amp; Asset Weights (Screenshot 5.3)</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30</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5.1.4  Multi-Asset MarketWatch Feed (Screenshot 5.4)</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31</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5.1.5  Cryptographic Ledger &amp; Audit Trail (Screenshot 5.5)</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31</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5.1.6  Agentic AI Rebalancing Console (Screenshot 5.6)</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32</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5.1.7  AI Chain-of-Thought Rationale Modal (Screenshot 5.7)</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32</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5.1.8  System Architecture &amp; Security Poster (Screenshot 5.8)</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33</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5.1.9  Automated Test Suite Verification (Screenshot 5.9)</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33</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5.2  Results Analysis &amp; Empirical Evaluation</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34</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5.3  Multi-Dimensional Comparative Analysis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34</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CHAPTER 6  CONCLUSION &amp; FUTURE SCOPE</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36 – 36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6.1  Conclusion</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36</w:t>
            </w:r>
          </w:p>
        </w:tc>
      </w:tr>
      <w:tr>
        <w:trPr>
          <w:cantSplit/>
        </w:trPr>
        <w:tc>
          <w:tcPr>
            <w:tcW w:type="dxa" w:w="734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 xml:space="preserve">  6.2  Future Scope &amp; Research Directions</w:t>
            </w:r>
          </w:p>
        </w:tc>
        <w:tc>
          <w:tcPr>
            <w:tcW w:type="dxa" w:w="144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36</w:t>
            </w:r>
          </w:p>
        </w:tc>
      </w:tr>
      <w:tr>
        <w:trPr>
          <w:cantSplit/>
        </w:trPr>
        <w:tc>
          <w:tcPr>
            <w:tcW w:type="dxa" w:w="734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REFERENCES</w:t>
            </w:r>
          </w:p>
        </w:tc>
        <w:tc>
          <w:tcPr>
            <w:tcW w:type="dxa" w:w="144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37 – 37</w:t>
            </w:r>
          </w:p>
        </w:tc>
      </w:tr>
    </w:tbl>
    <w:p>
      <w:pPr>
        <w:spacing w:before="0" w:after="120"/>
      </w:pPr>
    </w:p>
    <w:p>
      <w:r>
        <w:br w:type="page"/>
      </w:r>
    </w:p>
    <w:p>
      <w:pPr>
        <w:spacing w:before="240" w:after="320"/>
        <w:jc w:val="center"/>
      </w:pPr>
      <w:r>
        <w:rPr>
          <w:rFonts w:ascii="Calibri" w:hAnsi="Calibri"/>
          <w:b/>
          <w:color w:val="1F4E79"/>
          <w:sz w:val="32"/>
        </w:rPr>
        <w:t>LIST OF DIAGRAMS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172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Fig. No.</w:t>
            </w:r>
          </w:p>
        </w:tc>
        <w:tc>
          <w:tcPr>
            <w:tcW w:type="dxa" w:w="590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Diagram Title</w:t>
            </w:r>
          </w:p>
        </w:tc>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Page</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WealthOS Multi-Tier System Architecture Diagram</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11</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3.2</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Level-1 &amp; Level-2 Data Flow Diagram (DFD)</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12</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3.3</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Object-Oriented Class &amp; State Entity Diagram</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13</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3.4</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Comprehensive System Use Case Diagram</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14</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3.5</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Autonomous Rebalancing &amp; LLM Inference Sequence Diagram</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15</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3.6</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Continuous Drift Monitoring Activity Diagram</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16</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3.7</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Complete Algorithmic Execution Flowchart</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17</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3.8</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Multi-Asset Target vs. Actual Portfolio Allocation Treemap</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18</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3.9</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Empirical Portfolio Drift &amp; Volatility Timeline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19</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3.10</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Rebalancing Drift Histogram &amp; Threshold Trigger Distribution</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20</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Figure 3.11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Rebalancing Sensitivity &amp; Slippage Curve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20</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Figure 3.12</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Client-Side Vault &amp; Encryption Hierarchy Tree</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21</w:t>
            </w:r>
          </w:p>
        </w:tc>
      </w:tr>
    </w:tbl>
    <w:p>
      <w:pPr>
        <w:spacing w:before="0" w:after="120"/>
      </w:pPr>
    </w:p>
    <w:p>
      <w:r>
        <w:br w:type="page"/>
      </w:r>
    </w:p>
    <w:p>
      <w:pPr>
        <w:spacing w:before="240" w:after="320"/>
        <w:jc w:val="center"/>
      </w:pPr>
      <w:r>
        <w:rPr>
          <w:rFonts w:ascii="Calibri" w:hAnsi="Calibri"/>
          <w:b/>
          <w:color w:val="1F4E79"/>
          <w:sz w:val="32"/>
        </w:rPr>
        <w:t>LIST OF SCREENSHOTS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 No.</w:t>
            </w:r>
          </w:p>
        </w:tc>
        <w:tc>
          <w:tcPr>
            <w:tcW w:type="dxa" w:w="56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Screenshot Title</w:t>
            </w:r>
          </w:p>
        </w:tc>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Page</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5.1</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Authentication &amp; Portfolio Initialization Screen</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29</w:t>
            </w:r>
          </w:p>
        </w:tc>
      </w:tr>
      <w:tr>
        <w:trPr>
          <w:cantSplit/>
        </w:trPr>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5.2</w:t>
            </w:r>
          </w:p>
        </w:tc>
        <w:tc>
          <w:tcPr>
            <w:tcW w:type="dxa" w:w="56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WealthOS Primary Portfolio Overview Dashboard</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30</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5.3</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Real-Time Portfolio Drift Engine &amp; Asset Weights Visualizer</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30</w:t>
            </w:r>
          </w:p>
        </w:tc>
      </w:tr>
      <w:tr>
        <w:trPr>
          <w:cantSplit/>
        </w:trPr>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5.4</w:t>
            </w:r>
          </w:p>
        </w:tc>
        <w:tc>
          <w:tcPr>
            <w:tcW w:type="dxa" w:w="56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Multi-Asset Live MarketWatch Terminal</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31</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5.5</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Cryptographic Transactions Ledger &amp; Audit Trail</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31</w:t>
            </w:r>
          </w:p>
        </w:tc>
      </w:tr>
      <w:tr>
        <w:trPr>
          <w:cantSplit/>
        </w:trPr>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5.6</w:t>
            </w:r>
          </w:p>
        </w:tc>
        <w:tc>
          <w:tcPr>
            <w:tcW w:type="dxa" w:w="56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Agentic AI Rebalancing Operations Console</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32</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5.7</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AI Chain-of-Thought Rationale &amp; Decision Tree Modal</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32</w:t>
            </w:r>
          </w:p>
        </w:tc>
      </w:tr>
      <w:tr>
        <w:trPr>
          <w:cantSplit/>
        </w:trPr>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5.8</w:t>
            </w:r>
          </w:p>
        </w:tc>
        <w:tc>
          <w:tcPr>
            <w:tcW w:type="dxa" w:w="56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System Architecture &amp; Cryptographic Provenance Poster View</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33</w:t>
            </w:r>
          </w:p>
        </w:tc>
      </w:tr>
      <w:tr>
        <w:trPr>
          <w:cantSplit/>
        </w:trPr>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Screenshot 5.9</w:t>
            </w:r>
          </w:p>
        </w:tc>
        <w:tc>
          <w:tcPr>
            <w:tcW w:type="dxa" w:w="56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Automated Test Suite Execution &amp; Verification Evidence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33</w:t>
            </w:r>
          </w:p>
        </w:tc>
      </w:tr>
    </w:tbl>
    <w:p>
      <w:pPr>
        <w:spacing w:before="0" w:after="120"/>
      </w:pPr>
    </w:p>
    <w:p>
      <w:pPr>
        <w:spacing w:before="360" w:after="280"/>
        <w:jc w:val="center"/>
      </w:pPr>
      <w:r>
        <w:rPr>
          <w:rFonts w:ascii="Calibri" w:hAnsi="Calibri"/>
          <w:b/>
          <w:color w:val="1F4E79"/>
          <w:sz w:val="30"/>
        </w:rPr>
        <w:t>LIST OF TABLES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172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Table No.</w:t>
            </w:r>
          </w:p>
        </w:tc>
        <w:tc>
          <w:tcPr>
            <w:tcW w:type="dxa" w:w="590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Table Title</w:t>
            </w:r>
          </w:p>
        </w:tc>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Page</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2.1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Software Specifications &amp; Technology Matrix</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5</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Table 2.2</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Hardware Specifications &amp; Compute Requirements</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6</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4.1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Key Client-Side Service Endpoints &amp; External Feeds</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24</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Table 4.2</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Unit &amp; Functional Verification Test Cases</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25</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4.3</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Integration &amp; Pipeline Test Cases</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26</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Table 4.4</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Scenario-Based Stress Testing &amp; Failure Resilience</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27</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4.5</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User Acceptance Testing (UAT) Verification</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27</w:t>
            </w:r>
          </w:p>
        </w:tc>
      </w:tr>
      <w:tr>
        <w:trPr>
          <w:cantSplit/>
        </w:trPr>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Table 4.6</w:t>
            </w:r>
          </w:p>
        </w:tc>
        <w:tc>
          <w:tcPr>
            <w:tcW w:type="dxa" w:w="59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System Performance &amp; Execution Latency Benchmarks</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28</w:t>
            </w:r>
          </w:p>
        </w:tc>
      </w:tr>
      <w:tr>
        <w:trPr>
          <w:cantSplit/>
        </w:trPr>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Table 5.1</w:t>
            </w:r>
          </w:p>
        </w:tc>
        <w:tc>
          <w:tcPr>
            <w:tcW w:type="dxa" w:w="59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Multi-Dimensional Comparative Analysis Matrix</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34</w:t>
            </w:r>
          </w:p>
        </w:tc>
      </w:tr>
    </w:tbl>
    <w:p>
      <w:pPr>
        <w:spacing w:before="0" w:after="120"/>
      </w:pPr>
    </w:p>
    <w:p>
      <w:pPr>
        <w:sectPr>
          <w:headerReference w:type="default" r:id="rId12"/>
          <w:footerReference w:type="default" r:id="rId13"/>
          <w:pgSz w:w="11909" w:h="16834"/>
          <w:pgMar w:top="1440" w:right="1440" w:bottom="1440" w:left="1656" w:header="720" w:footer="720" w:gutter="0"/>
          <w:cols w:space="720"/>
          <w:titlePg/>
          <w:docGrid w:linePitch="360"/>
          <w:pgNumType w:fmt="lowerRoman" w:start="2"/>
        </w:sectPr>
      </w:pPr>
    </w:p>
    <w:p>
      <w:pPr>
        <w:keepNext/>
        <w:spacing w:before="320" w:after="120"/>
      </w:pPr>
      <w:r>
        <w:rPr>
          <w:rFonts w:ascii="Calibri" w:hAnsi="Calibri"/>
          <w:b/>
          <w:color w:val="1F4E79"/>
          <w:sz w:val="31"/>
        </w:rPr>
        <w:t>CHAPTER 1  INTRODUCTION</w:t>
      </w:r>
    </w:p>
    <w:p>
      <w:pPr>
        <w:spacing w:before="0" w:after="160" w:line="276" w:lineRule="auto"/>
        <w:jc w:val="both"/>
      </w:pPr>
      <w:r>
        <w:rPr>
          <w:rFonts w:ascii="Calibri" w:hAnsi="Calibri"/>
          <w:color w:val="1E293B"/>
          <w:sz w:val="22"/>
        </w:rPr>
        <w:t>Modern personal financial management has fundamentally transformed over the past decade. Where individuals once held modest savings accounts and occasional sovereign bonds, today's retail investors actively allocate capital across a highly complex, multi-asset landscape comprising Indian equities (NSE/BSE listed equities), mutual fund schemes, 24/7 liquid cryptocurrencies (e.g., Bitcoin, Ethereum, Solana), and traditional bullion precious metals (Gold and Silver). Modern Portfolio Theory (MPT), originally introduced by Harry Markowitz in 1952, demonstrates that optimal risk-adjusted returns are achieved through strategic asset allocation and periodic rebalancing. By combining non-correlated assets, an investor constructs a portfolio along the Efficient Frontier, capturing upside returns while curtailing downside volatility drawdowns.</w:t>
      </w:r>
    </w:p>
    <w:p>
      <w:pPr>
        <w:spacing w:before="0" w:after="160" w:line="276" w:lineRule="auto"/>
        <w:jc w:val="both"/>
      </w:pPr>
      <w:r>
        <w:rPr>
          <w:rFonts w:ascii="Calibri" w:hAnsi="Calibri"/>
          <w:color w:val="1E293B"/>
          <w:sz w:val="22"/>
        </w:rPr>
        <w:t>However, maintaining an optimal target allocation across heterogeneous modern asset classes is extraordinarily challenging. Different asset classes operate under fundamentally divergent market mechanics, trading hours, liquidity structures, and volatility regimes. Cryptocurrency markets trade uninterrupted 24 hours a day, 365 days a year, with high intra-day price swings. Indian equity exchanges (NSE and BSE) operate strictly from 9:15 AM to 3:30 PM IST on weekdays, while mutual fund holdings calculate Net Asset Values (NAV) only once per business day at market close. Physical and digital gold markets fluctuate based on global spot prices and domestic commodity exchange (MCX) hours. Consequently, asset prices drift rapidly at asynchronous velocities, destroying the investor's intended risk equilibrium.</w:t>
      </w:r>
    </w:p>
    <w:p>
      <w:pPr>
        <w:keepNext/>
        <w:spacing w:before="240" w:after="80"/>
      </w:pPr>
      <w:r>
        <w:rPr>
          <w:rFonts w:ascii="Calibri" w:hAnsi="Calibri"/>
          <w:b/>
          <w:color w:val="2E74B5"/>
          <w:sz w:val="26"/>
        </w:rPr>
        <w:t>1.1  Problem Definition &amp; Mathematical Formulation</w:t>
      </w:r>
    </w:p>
    <w:p>
      <w:pPr>
        <w:spacing w:before="0" w:after="80" w:line="276" w:lineRule="auto"/>
        <w:jc w:val="both"/>
      </w:pPr>
      <w:r>
        <w:rPr>
          <w:rFonts w:ascii="Calibri" w:hAnsi="Calibri"/>
          <w:color w:val="1E293B"/>
          <w:sz w:val="22"/>
        </w:rPr>
        <w:t>Portfolio drift occurs when price movements cause the monetary proportion of an asset class to diverge from its initial target weight. Formally, consider a multi-asset portfolio comprising M distinct asset classes. Let n_i denote the quantity held in asset i, and let P_i(t) denote the prevailing real-time unit price of asset i at time t. The total portfolio valuation V(t) is defined as:</w:t>
      </w:r>
    </w:p>
    <w:p>
      <w:pPr>
        <w:spacing w:before="0" w:after="80" w:line="276" w:lineRule="auto"/>
        <w:jc w:val="both"/>
      </w:pPr>
      <w:r>
        <w:rPr>
          <w:rFonts w:ascii="Calibri" w:hAnsi="Calibri"/>
          <w:b/>
          <w:color w:val="0F172A"/>
          <w:sz w:val="22"/>
        </w:rPr>
        <w:t xml:space="preserve">Equation 1.1: </w:t>
      </w:r>
      <w:r>
        <w:rPr>
          <w:rFonts w:ascii="Calibri" w:hAnsi="Calibri"/>
          <w:color w:val="1E293B"/>
          <w:sz w:val="22"/>
        </w:rPr>
        <w:t>V(t) = Sum_{j=1 to M} [ n_j * P_j(t) ]</w:t>
      </w:r>
    </w:p>
    <w:p>
      <w:pPr>
        <w:spacing w:before="0" w:after="80" w:line="276" w:lineRule="auto"/>
        <w:jc w:val="both"/>
      </w:pPr>
      <w:r>
        <w:rPr>
          <w:rFonts w:ascii="Calibri" w:hAnsi="Calibri"/>
          <w:color w:val="1E293B"/>
          <w:sz w:val="22"/>
        </w:rPr>
        <w:t>The actual instantaneous weight w_i(t) of asset i at time t is consequently expressed as:</w:t>
      </w:r>
    </w:p>
    <w:p>
      <w:pPr>
        <w:spacing w:before="0" w:after="120" w:line="276" w:lineRule="auto"/>
        <w:jc w:val="both"/>
      </w:pPr>
      <w:r>
        <w:rPr>
          <w:rFonts w:ascii="Calibri" w:hAnsi="Calibri"/>
          <w:b/>
          <w:color w:val="0F172A"/>
          <w:sz w:val="22"/>
        </w:rPr>
        <w:t xml:space="preserve">Equation 1.2: </w:t>
      </w:r>
      <w:r>
        <w:rPr>
          <w:rFonts w:ascii="Calibri" w:hAnsi="Calibri"/>
          <w:color w:val="1E293B"/>
          <w:sz w:val="22"/>
        </w:rPr>
        <w:t>w_i(t) = ( n_i * P_i(t) ) / V(t)  where  Sum_{i=1 to M} w_i(t) = 1.0</w:t>
      </w:r>
    </w:p>
    <w:p>
      <w:pPr>
        <w:spacing w:before="0" w:after="80" w:line="276" w:lineRule="auto"/>
        <w:jc w:val="both"/>
      </w:pPr>
      <w:r>
        <w:rPr>
          <w:rFonts w:ascii="Calibri" w:hAnsi="Calibri"/>
          <w:color w:val="1E293B"/>
          <w:sz w:val="22"/>
        </w:rPr>
        <w:t>Let w_i* denote the investor's target strategic allocation weight (e.g., 40% Equities, 30% Mutual Funds, 20% Gold, 10% Crypto). The instantaneous percentage allocation drift delta_w_i(t) is governed by:</w:t>
      </w:r>
    </w:p>
    <w:p>
      <w:pPr>
        <w:spacing w:before="0" w:after="120" w:line="276" w:lineRule="auto"/>
        <w:jc w:val="both"/>
      </w:pPr>
      <w:r>
        <w:rPr>
          <w:rFonts w:ascii="Calibri" w:hAnsi="Calibri"/>
          <w:b/>
          <w:color w:val="0F172A"/>
          <w:sz w:val="22"/>
        </w:rPr>
        <w:t xml:space="preserve">Equation 1.3: </w:t>
      </w:r>
      <w:r>
        <w:rPr>
          <w:rFonts w:ascii="Calibri" w:hAnsi="Calibri"/>
          <w:color w:val="1E293B"/>
          <w:sz w:val="22"/>
        </w:rPr>
        <w:t>delta_w_i(t) = w_i(t) - w_i*</w:t>
      </w:r>
    </w:p>
    <w:p>
      <w:pPr>
        <w:spacing w:before="0" w:after="160" w:line="276" w:lineRule="auto"/>
        <w:jc w:val="both"/>
      </w:pPr>
      <w:r>
        <w:rPr>
          <w:rFonts w:ascii="Calibri" w:hAnsi="Calibri"/>
          <w:color w:val="1E293B"/>
          <w:sz w:val="22"/>
        </w:rPr>
        <w:t>When a high-beta asset such as Bitcoin rallies rapidly (e.g., +45% in a single month), its actual weight w_i(t) swells substantially beyond w_i*. If an investor intended to hold only 10% in high-risk crypto, an unmonitored rally can expand this exposure to 25% or 30% of their total net worth. When the subsequent market correction strikes, the portfolio suffers severe, unhedged capital destruction. Conversely, when an undervalued asset lags, the investor fails to accumulate shares at distressed valuations, forfeiting the classic buy-low, sell-high rebalancing premium.</w:t>
      </w:r>
    </w:p>
    <w:p>
      <w:pPr>
        <w:spacing w:before="0" w:after="80" w:line="276" w:lineRule="auto"/>
        <w:jc w:val="both"/>
      </w:pPr>
      <w:r>
        <w:rPr>
          <w:rFonts w:ascii="Calibri" w:hAnsi="Calibri"/>
          <w:color w:val="1E293B"/>
          <w:sz w:val="22"/>
        </w:rPr>
        <w:t>Manual remediation of portfolio drift imposes severe cognitive and operational friction on retail investors:</w:t>
      </w:r>
    </w:p>
    <w:p>
      <w:pPr>
        <w:pStyle w:val="ListBullet"/>
        <w:spacing w:before="0" w:after="70" w:line="276" w:lineRule="auto"/>
        <w:jc w:val="both"/>
      </w:pPr>
      <w:r>
        <w:rPr>
          <w:rFonts w:ascii="Calibri" w:hAnsi="Calibri"/>
          <w:b/>
          <w:color w:val="0F172A"/>
          <w:sz w:val="21"/>
        </w:rPr>
        <w:t xml:space="preserve">Account Fragmentation: </w:t>
      </w:r>
      <w:r>
        <w:rPr>
          <w:rFonts w:ascii="Calibri" w:hAnsi="Calibri"/>
          <w:color w:val="334155"/>
          <w:sz w:val="21"/>
        </w:rPr>
        <w:t>Investors hold assets across fragmented platforms—equities in Demat accounts (Zerodha, Groww), crypto on centralized exchanges (CoinDCX, Binance), mutual funds on registrar apps (CAMS, KFintech), and gold in sovereign bonds or physical lockers. Consolidating total portfolio net worth requires tedious manual calculation.</w:t>
      </w:r>
    </w:p>
    <w:p>
      <w:pPr>
        <w:pStyle w:val="ListBullet"/>
        <w:spacing w:before="0" w:after="70" w:line="276" w:lineRule="auto"/>
        <w:jc w:val="both"/>
      </w:pPr>
      <w:r>
        <w:rPr>
          <w:rFonts w:ascii="Calibri" w:hAnsi="Calibri"/>
          <w:b/>
          <w:color w:val="0F172A"/>
          <w:sz w:val="21"/>
        </w:rPr>
        <w:t xml:space="preserve">Cognitive Overload &amp; Emotional Bias: </w:t>
      </w:r>
      <w:r>
        <w:rPr>
          <w:rFonts w:ascii="Calibri" w:hAnsi="Calibri"/>
          <w:color w:val="334155"/>
          <w:sz w:val="21"/>
        </w:rPr>
        <w:t>Calculating cross-asset delta orders requires continuous mathematical recalculation. In practice, behavioural biases (loss aversion, FOMO) prevent investors from taking profits on rallying assets or deploying cash into declining assets.</w:t>
      </w:r>
    </w:p>
    <w:p>
      <w:pPr>
        <w:pStyle w:val="ListBullet"/>
        <w:spacing w:before="0" w:after="70" w:line="276" w:lineRule="auto"/>
        <w:jc w:val="both"/>
      </w:pPr>
      <w:r>
        <w:rPr>
          <w:rFonts w:ascii="Calibri" w:hAnsi="Calibri"/>
          <w:b/>
          <w:color w:val="0F172A"/>
          <w:sz w:val="21"/>
        </w:rPr>
        <w:t xml:space="preserve">Centralized Cybersecurity Vulnerabilities: </w:t>
      </w:r>
      <w:r>
        <w:rPr>
          <w:rFonts w:ascii="Calibri" w:hAnsi="Calibri"/>
          <w:color w:val="334155"/>
          <w:sz w:val="21"/>
        </w:rPr>
        <w:t>Commercial cloud-based wealth management aggregators require users to upload sensitive KYC documents, PAN cards, Demat credentials, and bank account details onto remote servers. These centralized repositories represent lucrative targets for cyber attacks, credential stuffing, and extortion.</w:t>
      </w:r>
    </w:p>
    <w:p>
      <w:pPr>
        <w:pStyle w:val="ListBullet"/>
        <w:spacing w:before="0" w:after="70" w:line="276" w:lineRule="auto"/>
        <w:jc w:val="both"/>
      </w:pPr>
      <w:r>
        <w:rPr>
          <w:rFonts w:ascii="Calibri" w:hAnsi="Calibri"/>
          <w:b/>
          <w:color w:val="0F172A"/>
          <w:sz w:val="21"/>
        </w:rPr>
        <w:t xml:space="preserve">Infrequent Rebalancing Cadence: </w:t>
      </w:r>
      <w:r>
        <w:rPr>
          <w:rFonts w:ascii="Calibri" w:hAnsi="Calibri"/>
          <w:color w:val="334155"/>
          <w:sz w:val="21"/>
        </w:rPr>
        <w:t>Traditional financial advisors and robo-advisors review portfolio allocations only once a month or once a quarter. In volatile market environments, quarterly rebalancing is far too sluggish to mitigate risk.</w:t>
      </w:r>
    </w:p>
    <w:p>
      <w:pPr>
        <w:keepNext/>
        <w:spacing w:before="240" w:after="80"/>
      </w:pPr>
      <w:r>
        <w:rPr>
          <w:rFonts w:ascii="Calibri" w:hAnsi="Calibri"/>
          <w:b/>
          <w:color w:val="2E74B5"/>
          <w:sz w:val="26"/>
        </w:rPr>
        <w:t>1.2  Objective of the Project</w:t>
      </w:r>
    </w:p>
    <w:p>
      <w:pPr>
        <w:spacing w:before="0" w:after="120" w:line="276" w:lineRule="auto"/>
        <w:jc w:val="both"/>
      </w:pPr>
      <w:r>
        <w:rPr>
          <w:rFonts w:ascii="Calibri" w:hAnsi="Calibri"/>
          <w:color w:val="1E293B"/>
          <w:sz w:val="22"/>
        </w:rPr>
        <w:t>The primary objective of WealthOS is to design, implement, and validate an autonomous, privacy-preserving, client-side wealth management platform that continuously mitigates portfolio drift across heterogeneous asset classes through agentic AI and mathematical optimization. The specific architectural and technical objectives are as follows:</w:t>
      </w:r>
    </w:p>
    <w:p>
      <w:pPr>
        <w:pStyle w:val="ListBullet"/>
        <w:spacing w:before="0" w:after="70" w:line="276" w:lineRule="auto"/>
        <w:jc w:val="both"/>
      </w:pPr>
      <w:r>
        <w:rPr>
          <w:rFonts w:ascii="Calibri" w:hAnsi="Calibri"/>
          <w:b/>
          <w:color w:val="0F172A"/>
          <w:sz w:val="21"/>
        </w:rPr>
        <w:t xml:space="preserve">Autonomous Continuous Drift Detection: </w:t>
      </w:r>
      <w:r>
        <w:rPr>
          <w:rFonts w:ascii="Calibri" w:hAnsi="Calibri"/>
          <w:color w:val="334155"/>
          <w:sz w:val="21"/>
        </w:rPr>
        <w:t>Establish an asynchronous background execution engine operating on a 25-second heartbeat loop that polls real-time market feeds across crypto, Indian equities, mutual funds, and precious metals to track allocation drift against target weights.</w:t>
      </w:r>
    </w:p>
    <w:p>
      <w:pPr>
        <w:pStyle w:val="ListBullet"/>
        <w:spacing w:before="0" w:after="70" w:line="276" w:lineRule="auto"/>
        <w:jc w:val="both"/>
      </w:pPr>
      <w:r>
        <w:rPr>
          <w:rFonts w:ascii="Calibri" w:hAnsi="Calibri"/>
          <w:b/>
          <w:color w:val="0F172A"/>
          <w:sz w:val="21"/>
        </w:rPr>
        <w:t xml:space="preserve">Optimal Delta Trade Formulation: </w:t>
      </w:r>
      <w:r>
        <w:rPr>
          <w:rFonts w:ascii="Calibri" w:hAnsi="Calibri"/>
          <w:color w:val="334155"/>
          <w:sz w:val="21"/>
        </w:rPr>
        <w:t>Implement a deadband rebalancing algorithm (tau = 5%) that computes exact monetary deltas required to restore target allocations, preventing portfolio churning and minimizing execution transaction friction.</w:t>
      </w:r>
    </w:p>
    <w:p>
      <w:pPr>
        <w:pStyle w:val="ListBullet"/>
        <w:spacing w:before="0" w:after="70" w:line="276" w:lineRule="auto"/>
        <w:jc w:val="both"/>
      </w:pPr>
      <w:r>
        <w:rPr>
          <w:rFonts w:ascii="Calibri" w:hAnsi="Calibri"/>
          <w:b/>
          <w:color w:val="0F172A"/>
          <w:sz w:val="21"/>
        </w:rPr>
        <w:t xml:space="preserve">Edge-First Zero-Knowledge Security Vault: </w:t>
      </w:r>
      <w:r>
        <w:rPr>
          <w:rFonts w:ascii="Calibri" w:hAnsi="Calibri"/>
          <w:color w:val="334155"/>
          <w:sz w:val="21"/>
        </w:rPr>
        <w:t>Architect a client-side cryptographic storage framework leveraging the W3C Web Crypto API (AES-GCM-256) to ensure that net worth figures, transaction histories, and private credentials remain strictly on the user's browser without remote cloud leakage.</w:t>
      </w:r>
    </w:p>
    <w:p>
      <w:pPr>
        <w:pStyle w:val="ListBullet"/>
        <w:spacing w:before="0" w:after="70" w:line="276" w:lineRule="auto"/>
        <w:jc w:val="both"/>
      </w:pPr>
      <w:r>
        <w:rPr>
          <w:rFonts w:ascii="Calibri" w:hAnsi="Calibri"/>
          <w:b/>
          <w:color w:val="0F172A"/>
          <w:sz w:val="21"/>
        </w:rPr>
        <w:t xml:space="preserve">Dual-Agentic AI Architecture with Transparent CoT: </w:t>
      </w:r>
      <w:r>
        <w:rPr>
          <w:rFonts w:ascii="Calibri" w:hAnsi="Calibri"/>
          <w:color w:val="334155"/>
          <w:sz w:val="21"/>
        </w:rPr>
        <w:t>Integrate a local on-device LLM (Ollama running Qwen 2.5 Coder 7B or Llama 3.2 3B) for private, zero-latency financial analysis and trade rationale formulation, complemented by a cloud fallback LLM (Google Gemini 1.5 Flash / Groq Llama 3.3 70B) for macroeconomic news synthesis.</w:t>
      </w:r>
    </w:p>
    <w:p>
      <w:pPr>
        <w:pStyle w:val="ListBullet"/>
        <w:spacing w:before="0" w:after="70" w:line="276" w:lineRule="auto"/>
        <w:jc w:val="both"/>
      </w:pPr>
      <w:r>
        <w:rPr>
          <w:rFonts w:ascii="Calibri" w:hAnsi="Calibri"/>
          <w:b/>
          <w:color w:val="0F172A"/>
          <w:sz w:val="21"/>
        </w:rPr>
        <w:t xml:space="preserve">Immutable Cryptographic Ledger &amp; Audit Trail: </w:t>
      </w:r>
      <w:r>
        <w:rPr>
          <w:rFonts w:ascii="Calibri" w:hAnsi="Calibri"/>
          <w:color w:val="334155"/>
          <w:sz w:val="21"/>
        </w:rPr>
        <w:t>Provide an immutable client-side transaction ledger with SHA-256 state hashing and UPI liquidity simulation, enabling auditable verification of every manual swap and autonomous rebalance order.</w:t>
      </w:r>
    </w:p>
    <w:p>
      <w:pPr>
        <w:keepNext/>
        <w:spacing w:before="240" w:after="80"/>
      </w:pPr>
      <w:r>
        <w:rPr>
          <w:rFonts w:ascii="Calibri" w:hAnsi="Calibri"/>
          <w:b/>
          <w:color w:val="2E74B5"/>
          <w:sz w:val="26"/>
        </w:rPr>
        <w:t>1.3  Scope of the Project</w:t>
      </w:r>
    </w:p>
    <w:p>
      <w:pPr>
        <w:spacing w:before="0" w:after="80" w:line="276" w:lineRule="auto"/>
        <w:jc w:val="both"/>
      </w:pPr>
      <w:r>
        <w:rPr>
          <w:rFonts w:ascii="Calibri" w:hAnsi="Calibri"/>
          <w:color w:val="1E293B"/>
          <w:sz w:val="22"/>
        </w:rPr>
        <w:t>The scope of WealthOS encompasses the end-to-end engineering of a single-page progressive web application (PWA) running natively within standard Chromium-based and WebKit-based modern web browsers. Key functional scope elements include:</w:t>
      </w:r>
    </w:p>
    <w:p>
      <w:pPr>
        <w:pStyle w:val="ListBullet"/>
        <w:spacing w:before="0" w:after="70" w:line="276" w:lineRule="auto"/>
        <w:jc w:val="both"/>
      </w:pPr>
      <w:r>
        <w:rPr>
          <w:rFonts w:ascii="Calibri" w:hAnsi="Calibri"/>
          <w:b/>
          <w:color w:val="0F172A"/>
          <w:sz w:val="21"/>
        </w:rPr>
        <w:t xml:space="preserve">Multi-Asset Market Data Feeds: </w:t>
      </w:r>
      <w:r>
        <w:rPr>
          <w:rFonts w:ascii="Calibri" w:hAnsi="Calibri"/>
          <w:color w:val="334155"/>
          <w:sz w:val="21"/>
        </w:rPr>
        <w:t>Direct REST API integrations with CoinGecko (cryptocurrencies), MFAPI.in (Indian mutual funds), Yahoo Finance / NSE feeds (equities), and spot bullion rates (Gold/Silver).</w:t>
      </w:r>
    </w:p>
    <w:p>
      <w:pPr>
        <w:pStyle w:val="ListBullet"/>
        <w:spacing w:before="0" w:after="70" w:line="276" w:lineRule="auto"/>
        <w:jc w:val="both"/>
      </w:pPr>
      <w:r>
        <w:rPr>
          <w:rFonts w:ascii="Calibri" w:hAnsi="Calibri"/>
          <w:b/>
          <w:color w:val="0F172A"/>
          <w:sz w:val="21"/>
        </w:rPr>
        <w:t xml:space="preserve">Mathematical Modeling &amp; Simulation: </w:t>
      </w:r>
      <w:r>
        <w:rPr>
          <w:rFonts w:ascii="Calibri" w:hAnsi="Calibri"/>
          <w:color w:val="334155"/>
          <w:sz w:val="21"/>
        </w:rPr>
        <w:t>Real-time portfolio valuation, dynamic weight calculation, deadband threshold triggers, and Geometric Brownian Motion (GBM) synthetic price simulation during offline or rate-limited scenarios.</w:t>
      </w:r>
    </w:p>
    <w:p>
      <w:pPr>
        <w:pStyle w:val="ListBullet"/>
        <w:spacing w:before="0" w:after="70" w:line="276" w:lineRule="auto"/>
        <w:jc w:val="both"/>
      </w:pPr>
      <w:r>
        <w:rPr>
          <w:rFonts w:ascii="Calibri" w:hAnsi="Calibri"/>
          <w:b/>
          <w:color w:val="0F172A"/>
          <w:sz w:val="21"/>
        </w:rPr>
        <w:t xml:space="preserve">Agentic AI Operations Console: </w:t>
      </w:r>
      <w:r>
        <w:rPr>
          <w:rFonts w:ascii="Calibri" w:hAnsi="Calibri"/>
          <w:color w:val="334155"/>
          <w:sz w:val="21"/>
        </w:rPr>
        <w:t>An interactive natural language copilot capable of evaluating portfolio health, explaining the financial rationale behind rebalance suggestions, and answering investor queries.</w:t>
      </w:r>
    </w:p>
    <w:p>
      <w:pPr>
        <w:pStyle w:val="ListBullet"/>
        <w:spacing w:before="0" w:after="70" w:line="276" w:lineRule="auto"/>
        <w:jc w:val="both"/>
      </w:pPr>
      <w:r>
        <w:rPr>
          <w:rFonts w:ascii="Calibri" w:hAnsi="Calibri"/>
          <w:b/>
          <w:color w:val="0F172A"/>
          <w:sz w:val="21"/>
        </w:rPr>
        <w:t xml:space="preserve">Interactive Visual Analytics: </w:t>
      </w:r>
      <w:r>
        <w:rPr>
          <w:rFonts w:ascii="Calibri" w:hAnsi="Calibri"/>
          <w:color w:val="334155"/>
          <w:sz w:val="21"/>
        </w:rPr>
        <w:t>Dynamic asset allocation donuts, target-versus-actual weight bar charts, real-time drift gauges, live order books, and transaction history ledgers built with Recharts.</w:t>
      </w:r>
    </w:p>
    <w:p>
      <w:pPr>
        <w:pStyle w:val="ListBullet"/>
        <w:spacing w:before="0" w:after="70" w:line="276" w:lineRule="auto"/>
        <w:jc w:val="both"/>
      </w:pPr>
      <w:r>
        <w:rPr>
          <w:rFonts w:ascii="Calibri" w:hAnsi="Calibri"/>
          <w:b/>
          <w:color w:val="0F172A"/>
          <w:sz w:val="21"/>
        </w:rPr>
        <w:t xml:space="preserve">Verification &amp; Testing: </w:t>
      </w:r>
      <w:r>
        <w:rPr>
          <w:rFonts w:ascii="Calibri" w:hAnsi="Calibri"/>
          <w:color w:val="334155"/>
          <w:sz w:val="21"/>
        </w:rPr>
        <w:t>Comprehensive test suite spanning unit tests, integration pipelines, market crash stress tests, and user acceptance testing (UAT).</w:t>
      </w:r>
    </w:p>
    <w:tbl>
      <w:tblPr>
        <w:tblW w:type="auto" w:w="0"/>
        <w:jc w:val="center"/>
        <w:tblLook w:firstColumn="1" w:firstRow="1" w:lastColumn="0" w:lastRow="0" w:noHBand="0" w:noVBand="1" w:val="04A0"/>
      </w:tblPr>
      <w:tblGrid>
        <w:gridCol w:w="8813"/>
      </w:tblGrid>
      <w:tr>
        <w:tc>
          <w:tcPr>
            <w:tcW w:type="dxa" w:w="8813"/>
            <w:shd w:fill="F0F7FF"/>
            <w:tcMar>
              <w:top w:w="130" w:type="dxa"/>
              <w:bottom w:w="130" w:type="dxa"/>
              <w:left w:w="170" w:type="dxa"/>
              <w:right w:w="170" w:type="dxa"/>
            </w:tcMar>
            <w:tcBorders>
              <w:top w:val="none"/>
              <w:left w:val="single" w:sz="24" w:space="0" w:color="1F4E79"/>
              <w:bottom w:val="none"/>
              <w:right w:val="none"/>
            </w:tcBorders>
          </w:tcPr>
          <w:p>
            <w:pPr>
              <w:spacing w:before="40" w:after="40" w:line="276" w:lineRule="auto"/>
            </w:pPr>
            <w:r>
              <w:rPr>
                <w:rFonts w:ascii="Calibri" w:hAnsi="Calibri"/>
                <w:b/>
                <w:color w:val="1F4E79"/>
                <w:sz w:val="21"/>
              </w:rPr>
              <w:t>[CORE PHILOSOPHICAL HIGHLIGHT]</w:t>
              <w:br/>
            </w:r>
            <w:r>
              <w:rPr>
                <w:rFonts w:ascii="Calibri" w:hAnsi="Calibri"/>
                <w:i/>
                <w:color w:val="334155"/>
                <w:sz w:val="20"/>
              </w:rPr>
              <w:t>WealthOS operates as an Edge-First, Zero-Knowledge application. It disproves the common industry misconception that automated algorithmic wealth management requires centralizing private financial credentials on remote corporate servers.</w:t>
            </w:r>
          </w:p>
        </w:tc>
      </w:tr>
    </w:tbl>
    <w:p>
      <w:pPr>
        <w:spacing w:before="0" w:after="80"/>
      </w:pPr>
    </w:p>
    <w:p>
      <w:r>
        <w:br w:type="page"/>
      </w:r>
    </w:p>
    <w:p>
      <w:pPr>
        <w:keepNext/>
        <w:spacing w:before="320" w:after="120"/>
      </w:pPr>
      <w:r>
        <w:rPr>
          <w:rFonts w:ascii="Calibri" w:hAnsi="Calibri"/>
          <w:b/>
          <w:color w:val="1F4E79"/>
          <w:sz w:val="31"/>
        </w:rPr>
        <w:t>CHAPTER 2  SYSTEM ANALYSIS</w:t>
      </w:r>
    </w:p>
    <w:p>
      <w:pPr>
        <w:keepNext/>
        <w:spacing w:before="240" w:after="80"/>
      </w:pPr>
      <w:r>
        <w:rPr>
          <w:rFonts w:ascii="Calibri" w:hAnsi="Calibri"/>
          <w:b/>
          <w:color w:val="2E74B5"/>
          <w:sz w:val="26"/>
        </w:rPr>
        <w:t>2.1  Existing System &amp; Literature Survey</w:t>
      </w:r>
    </w:p>
    <w:p>
      <w:pPr>
        <w:keepNext/>
        <w:spacing w:before="180" w:after="60"/>
      </w:pPr>
      <w:r>
        <w:rPr>
          <w:rFonts w:ascii="Calibri" w:hAnsi="Calibri"/>
          <w:b/>
          <w:color w:val="1E293B"/>
          <w:sz w:val="23"/>
        </w:rPr>
        <w:t>2.1.1  Background &amp; Theoretical Foundations</w:t>
      </w:r>
    </w:p>
    <w:p>
      <w:pPr>
        <w:spacing w:before="0" w:after="160" w:line="276" w:lineRule="auto"/>
        <w:jc w:val="both"/>
      </w:pPr>
      <w:r>
        <w:rPr>
          <w:rFonts w:ascii="Calibri" w:hAnsi="Calibri"/>
          <w:color w:val="1E293B"/>
          <w:sz w:val="22"/>
        </w:rPr>
        <w:t>Algorithmic portfolio management traces its mathematical lineage to Harry Markowitz's (1952) Mean-Variance Optimization framework, which demonstrated that an asset's risk and return should not be assessed in isolation, but by how it contributes to an overall portfolio's risk-return profile. William Sharpe (1966) expanded this foundation with the Sharpe Ratio, measuring excess return per unit of volatility. Fischer Black and Robert Litterman (1992) resolved Markowitz's extreme sensitivity to expected returns by introducing Bayesian blending between market equilibrium and subjective investor views.</w:t>
      </w:r>
    </w:p>
    <w:p>
      <w:pPr>
        <w:spacing w:before="0" w:after="160" w:line="276" w:lineRule="auto"/>
        <w:jc w:val="both"/>
      </w:pPr>
      <w:r>
        <w:rPr>
          <w:rFonts w:ascii="Calibri" w:hAnsi="Calibri"/>
          <w:color w:val="1E293B"/>
          <w:sz w:val="22"/>
        </w:rPr>
        <w:t>Over the past decade, financial technology (FinTech) firms commercialized these principles into automated robo-advisory platforms, such as Betterment, Wealthfront, and Personal Capital in the United States, as well as Zerodha Coin, smallcase, and ET Money in India. Concurrently, the emergence of Autonomous AI Agents driven by Large Language Models—grounded in frameworks such as ReAct (Yao et al., 2022)—has demonstrated that autonomous agents can combine reasoning (chain-of-thought analysis) with action (API execution) to solve complex workflows.</w:t>
      </w:r>
    </w:p>
    <w:p>
      <w:pPr>
        <w:keepNext/>
        <w:spacing w:before="180" w:after="60"/>
      </w:pPr>
      <w:r>
        <w:rPr>
          <w:rFonts w:ascii="Calibri" w:hAnsi="Calibri"/>
          <w:b/>
          <w:color w:val="1E293B"/>
          <w:sz w:val="23"/>
        </w:rPr>
        <w:t>2.1.2  Limitations of Existing Robo-Advisory Platforms</w:t>
      </w:r>
    </w:p>
    <w:p>
      <w:pPr>
        <w:spacing w:before="0" w:after="80" w:line="276" w:lineRule="auto"/>
        <w:jc w:val="both"/>
      </w:pPr>
      <w:r>
        <w:rPr>
          <w:rFonts w:ascii="Calibri" w:hAnsi="Calibri"/>
          <w:color w:val="1E293B"/>
          <w:sz w:val="22"/>
        </w:rPr>
        <w:t>Despite these technological advancements, prevailing commercial wealth management solutions suffer from five acute limitations:</w:t>
      </w:r>
    </w:p>
    <w:p>
      <w:pPr>
        <w:pStyle w:val="ListBullet"/>
        <w:spacing w:before="0" w:after="70" w:line="276" w:lineRule="auto"/>
        <w:jc w:val="both"/>
      </w:pPr>
      <w:r>
        <w:rPr>
          <w:rFonts w:ascii="Calibri" w:hAnsi="Calibri"/>
          <w:b/>
          <w:color w:val="0F172A"/>
          <w:sz w:val="21"/>
        </w:rPr>
        <w:t xml:space="preserve">1. Centralized Cloud Honey-Pots: </w:t>
      </w:r>
      <w:r>
        <w:rPr>
          <w:rFonts w:ascii="Calibri" w:hAnsi="Calibri"/>
          <w:color w:val="334155"/>
          <w:sz w:val="21"/>
        </w:rPr>
        <w:t>Conventional robo-advisors require users to link bank accounts, broker credentials, and PAN details to centralized cloud databases. A cyber attack on these servers creates catastrophic identity theft and financial extortion risks.</w:t>
      </w:r>
    </w:p>
    <w:p>
      <w:pPr>
        <w:pStyle w:val="ListBullet"/>
        <w:spacing w:before="0" w:after="70" w:line="276" w:lineRule="auto"/>
        <w:jc w:val="both"/>
      </w:pPr>
      <w:r>
        <w:rPr>
          <w:rFonts w:ascii="Calibri" w:hAnsi="Calibri"/>
          <w:b/>
          <w:color w:val="0F172A"/>
          <w:sz w:val="21"/>
        </w:rPr>
        <w:t xml:space="preserve">2. Infrequent Rebalancing Cadence: </w:t>
      </w:r>
      <w:r>
        <w:rPr>
          <w:rFonts w:ascii="Calibri" w:hAnsi="Calibri"/>
          <w:color w:val="334155"/>
          <w:sz w:val="21"/>
        </w:rPr>
        <w:t>Commercial platforms typically evaluate asset allocations only on a monthly or quarterly basis. In modern high-volatility markets—where crypto or mid-cap stocks can shift 30% in 48 hours—quarterly rebalancing is far too sluggish.</w:t>
      </w:r>
    </w:p>
    <w:p>
      <w:pPr>
        <w:pStyle w:val="ListBullet"/>
        <w:spacing w:before="0" w:after="70" w:line="276" w:lineRule="auto"/>
        <w:jc w:val="both"/>
      </w:pPr>
      <w:r>
        <w:rPr>
          <w:rFonts w:ascii="Calibri" w:hAnsi="Calibri"/>
          <w:b/>
          <w:color w:val="0F172A"/>
          <w:sz w:val="21"/>
        </w:rPr>
        <w:t xml:space="preserve">3. Opaque Black-Box Decision Making: </w:t>
      </w:r>
      <w:r>
        <w:rPr>
          <w:rFonts w:ascii="Calibri" w:hAnsi="Calibri"/>
          <w:color w:val="334155"/>
          <w:sz w:val="21"/>
        </w:rPr>
        <w:t>Most robo-advisors execute automated rebalance orders silently behind the scenes without providing transparent reasoning. The investor has no visibility into why specific lots were sold or bought.</w:t>
      </w:r>
    </w:p>
    <w:p>
      <w:pPr>
        <w:pStyle w:val="ListBullet"/>
        <w:spacing w:before="0" w:after="70" w:line="276" w:lineRule="auto"/>
        <w:jc w:val="both"/>
      </w:pPr>
      <w:r>
        <w:rPr>
          <w:rFonts w:ascii="Calibri" w:hAnsi="Calibri"/>
          <w:b/>
          <w:color w:val="0F172A"/>
          <w:sz w:val="21"/>
        </w:rPr>
        <w:t xml:space="preserve">4. Fragmented Asset Silos: </w:t>
      </w:r>
      <w:r>
        <w:rPr>
          <w:rFonts w:ascii="Calibri" w:hAnsi="Calibri"/>
          <w:color w:val="334155"/>
          <w:sz w:val="21"/>
        </w:rPr>
        <w:t>Traditional brokerages specialize in equities and mutual funds, explicitly excluding cryptocurrencies and physical bullion from their allocation models. The investor is forced to manually juggle disconnected platforms.</w:t>
      </w:r>
    </w:p>
    <w:p>
      <w:pPr>
        <w:pStyle w:val="ListBullet"/>
        <w:spacing w:before="0" w:after="70" w:line="276" w:lineRule="auto"/>
        <w:jc w:val="both"/>
      </w:pPr>
      <w:r>
        <w:rPr>
          <w:rFonts w:ascii="Calibri" w:hAnsi="Calibri"/>
          <w:b/>
          <w:color w:val="0F172A"/>
          <w:sz w:val="21"/>
        </w:rPr>
        <w:t xml:space="preserve">5. Excessive Fee Drag: </w:t>
      </w:r>
      <w:r>
        <w:rPr>
          <w:rFonts w:ascii="Calibri" w:hAnsi="Calibri"/>
          <w:color w:val="334155"/>
          <w:sz w:val="21"/>
        </w:rPr>
        <w:t>Robo-advisors charge 0.25% to 0.75% annual Assets Under Management (AUM) fees, compounding over decades and eroding a significant fraction of compound portfolio returns.</w:t>
      </w:r>
    </w:p>
    <w:p>
      <w:pPr>
        <w:keepNext/>
        <w:spacing w:before="240" w:after="80"/>
      </w:pPr>
      <w:r>
        <w:rPr>
          <w:rFonts w:ascii="Calibri" w:hAnsi="Calibri"/>
          <w:b/>
          <w:color w:val="2E74B5"/>
          <w:sz w:val="26"/>
        </w:rPr>
        <w:t>2.2  Proposed System Architecture</w:t>
      </w:r>
    </w:p>
    <w:p>
      <w:pPr>
        <w:spacing w:before="0" w:after="120" w:line="276" w:lineRule="auto"/>
        <w:jc w:val="both"/>
      </w:pPr>
      <w:r>
        <w:rPr>
          <w:rFonts w:ascii="Calibri" w:hAnsi="Calibri"/>
          <w:color w:val="1E293B"/>
          <w:sz w:val="22"/>
        </w:rPr>
        <w:t>WealthOS is engineered to fundamentally overcome the architectural shortcomings of existing wealth management solutions. It introduces a client-side, zero-knowledge, autonomous wealth management platform running natively in the user's browser, integrating live multi-asset feeds with an edge-inferred dual-LLM pipeline.</w:t>
      </w:r>
    </w:p>
    <w:p>
      <w:pPr>
        <w:keepNext/>
        <w:spacing w:before="180" w:after="60"/>
      </w:pPr>
      <w:r>
        <w:rPr>
          <w:rFonts w:ascii="Calibri" w:hAnsi="Calibri"/>
          <w:b/>
          <w:color w:val="1E293B"/>
          <w:sz w:val="23"/>
        </w:rPr>
        <w:t>2.2.1  Key Advantages of Proposed Edge-First System</w:t>
      </w:r>
    </w:p>
    <w:p>
      <w:pPr>
        <w:pStyle w:val="ListBullet"/>
        <w:spacing w:before="0" w:after="70" w:line="276" w:lineRule="auto"/>
        <w:jc w:val="both"/>
      </w:pPr>
      <w:r>
        <w:rPr>
          <w:rFonts w:ascii="Calibri" w:hAnsi="Calibri"/>
          <w:b/>
          <w:color w:val="0F172A"/>
          <w:sz w:val="21"/>
        </w:rPr>
        <w:t xml:space="preserve">Zero-Knowledge Data Privacy: </w:t>
      </w:r>
      <w:r>
        <w:rPr>
          <w:rFonts w:ascii="Calibri" w:hAnsi="Calibri"/>
          <w:color w:val="334155"/>
          <w:sz w:val="21"/>
        </w:rPr>
        <w:t>All portfolio holdings, cash balances, and trade records are encrypted using AES-GCM-256 and stored exclusively in the browser's localStorage. Zero net-worth telemetry leaves the client device.</w:t>
      </w:r>
    </w:p>
    <w:p>
      <w:pPr>
        <w:pStyle w:val="ListBullet"/>
        <w:spacing w:before="0" w:after="70" w:line="276" w:lineRule="auto"/>
        <w:jc w:val="both"/>
      </w:pPr>
      <w:r>
        <w:rPr>
          <w:rFonts w:ascii="Calibri" w:hAnsi="Calibri"/>
          <w:b/>
          <w:color w:val="0F172A"/>
          <w:sz w:val="21"/>
        </w:rPr>
        <w:t xml:space="preserve">Continuous 25-Second Heartbeat Monitoring: </w:t>
      </w:r>
      <w:r>
        <w:rPr>
          <w:rFonts w:ascii="Calibri" w:hAnsi="Calibri"/>
          <w:color w:val="334155"/>
          <w:sz w:val="21"/>
        </w:rPr>
        <w:t>WealthOS continuously calculates asset drift in real time, reacting to intra-day market volatility within seconds rather than months.</w:t>
      </w:r>
    </w:p>
    <w:p>
      <w:pPr>
        <w:pStyle w:val="ListBullet"/>
        <w:spacing w:before="0" w:after="70" w:line="276" w:lineRule="auto"/>
        <w:jc w:val="both"/>
      </w:pPr>
      <w:r>
        <w:rPr>
          <w:rFonts w:ascii="Calibri" w:hAnsi="Calibri"/>
          <w:b/>
          <w:color w:val="0F172A"/>
          <w:sz w:val="21"/>
        </w:rPr>
        <w:t xml:space="preserve">Multi-Asset Consolidation: </w:t>
      </w:r>
      <w:r>
        <w:rPr>
          <w:rFonts w:ascii="Calibri" w:hAnsi="Calibri"/>
          <w:color w:val="334155"/>
          <w:sz w:val="21"/>
        </w:rPr>
        <w:t>Harmonizes cryptocurrencies, Indian equities, mutual fund NAVs, and bullion into a single unified mathematical allocation vector.</w:t>
      </w:r>
    </w:p>
    <w:p>
      <w:pPr>
        <w:pStyle w:val="ListBullet"/>
        <w:spacing w:before="0" w:after="70" w:line="276" w:lineRule="auto"/>
        <w:jc w:val="both"/>
      </w:pPr>
      <w:r>
        <w:rPr>
          <w:rFonts w:ascii="Calibri" w:hAnsi="Calibri"/>
          <w:b/>
          <w:color w:val="0F172A"/>
          <w:sz w:val="21"/>
        </w:rPr>
        <w:t xml:space="preserve">Explainable Agentic AI: </w:t>
      </w:r>
      <w:r>
        <w:rPr>
          <w:rFonts w:ascii="Calibri" w:hAnsi="Calibri"/>
          <w:color w:val="334155"/>
          <w:sz w:val="21"/>
        </w:rPr>
        <w:t>Every rebalance recommendation is accompanied by an AI-generated Chain-of-Thought (CoT) explanation, articulating the exact mathematical and market justification.</w:t>
      </w:r>
    </w:p>
    <w:p>
      <w:pPr>
        <w:pStyle w:val="ListBullet"/>
        <w:spacing w:before="0" w:after="70" w:line="276" w:lineRule="auto"/>
        <w:jc w:val="both"/>
      </w:pPr>
      <w:r>
        <w:rPr>
          <w:rFonts w:ascii="Calibri" w:hAnsi="Calibri"/>
          <w:b/>
          <w:color w:val="0F172A"/>
          <w:sz w:val="21"/>
        </w:rPr>
        <w:t xml:space="preserve">Zero Management Fees: </w:t>
      </w:r>
      <w:r>
        <w:rPr>
          <w:rFonts w:ascii="Calibri" w:hAnsi="Calibri"/>
          <w:color w:val="334155"/>
          <w:sz w:val="21"/>
        </w:rPr>
        <w:t>WealthOS is open-source and serverless, eliminating all ongoing AUM advisory fees.</w:t>
      </w:r>
    </w:p>
    <w:p>
      <w:pPr>
        <w:keepNext/>
        <w:spacing w:before="240" w:after="80"/>
      </w:pPr>
      <w:r>
        <w:rPr>
          <w:rFonts w:ascii="Calibri" w:hAnsi="Calibri"/>
          <w:b/>
          <w:color w:val="2E74B5"/>
          <w:sz w:val="26"/>
        </w:rPr>
        <w:t>2.3  Software &amp; Hardware Requirements</w:t>
      </w:r>
    </w:p>
    <w:p>
      <w:pPr>
        <w:keepNext/>
        <w:spacing w:before="180" w:after="60"/>
      </w:pPr>
      <w:r>
        <w:rPr>
          <w:rFonts w:ascii="Calibri" w:hAnsi="Calibri"/>
          <w:b/>
          <w:color w:val="1E293B"/>
          <w:sz w:val="23"/>
        </w:rPr>
        <w:t>2.3.1  Software Specifications &amp; Technology Matrix</w:t>
      </w:r>
    </w:p>
    <w:p>
      <w:pPr>
        <w:keepNext/>
        <w:spacing w:before="200" w:after="80"/>
        <w:jc w:val="center"/>
      </w:pPr>
      <w:r>
        <w:rPr>
          <w:rFonts w:ascii="Calibri" w:hAnsi="Calibri"/>
          <w:b/>
          <w:color w:val="1F4E79"/>
          <w:sz w:val="20"/>
        </w:rPr>
        <w:t>Table 2.1: Software Specifications &amp; Technology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216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Component Layer</w:t>
            </w:r>
          </w:p>
        </w:tc>
        <w:tc>
          <w:tcPr>
            <w:tcW w:type="dxa" w:w="302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Technology / Specification</w:t>
            </w:r>
          </w:p>
        </w:tc>
        <w:tc>
          <w:tcPr>
            <w:tcW w:type="dxa" w:w="360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Purpose &amp; Role in WealthOS</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Frontend Framework</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React 19 (TypeScript 5.5)</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Component-driven reactive UI architecture with strict typing</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Build Tool &amp; Dev Server</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Vite 5.4</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Sub-second Hot Module Replacement (HMR) and optimized bundling</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Styling System</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Tailwind CSS &amp; Vanilla Glassmorphism</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High-contrast dark-mode theme with modern visual hierarchy</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Icons &amp; Visual Assets</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Lucide React</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Lightweight vector icons for financial and cyber operations</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Data Visualization</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Recharts 2.12</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Interactive SVG-based area charts, allocation pies, and drift bars</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Local Cryptography</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W3C Web Crypto API</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Hardware-accelerated AES-GCM-256 client vault encryption</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Local AI Provider</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Ollama (Qwen 2.5 Coder 7B / Llama 3.2 3B)</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Zero-data-egress on-device local financial reasoning</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Cloud AI Fallback</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Google Gemini 1.5 Flash / Groq Llama 3.3</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Ultra-low-latency macroeconomic sentiment synthesis</w:t>
            </w:r>
          </w:p>
        </w:tc>
      </w:tr>
      <w:tr>
        <w:trPr>
          <w:cantSplit/>
        </w:trPr>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Live Market APIs</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CoinGecko, MFAPI.in, Yahoo Finance</w:t>
            </w:r>
          </w:p>
        </w:tc>
        <w:tc>
          <w:tcPr>
            <w:tcW w:type="dxa" w:w="360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Real-time REST market data ingestion across asset classes</w:t>
            </w:r>
          </w:p>
        </w:tc>
      </w:tr>
      <w:tr>
        <w:trPr>
          <w:cantSplit/>
        </w:trPr>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Testing Framework</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Vitest &amp; Pytest 8.0</w:t>
            </w:r>
          </w:p>
        </w:tc>
        <w:tc>
          <w:tcPr>
            <w:tcW w:type="dxa" w:w="360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Automated unit, integration, and mathematical verification suite</w:t>
            </w:r>
          </w:p>
        </w:tc>
      </w:tr>
    </w:tbl>
    <w:p>
      <w:pPr>
        <w:spacing w:before="0" w:after="120"/>
      </w:pPr>
    </w:p>
    <w:p>
      <w:pPr>
        <w:keepNext/>
        <w:spacing w:before="180" w:after="60"/>
      </w:pPr>
      <w:r>
        <w:rPr>
          <w:rFonts w:ascii="Calibri" w:hAnsi="Calibri"/>
          <w:b/>
          <w:color w:val="1E293B"/>
          <w:sz w:val="23"/>
        </w:rPr>
        <w:t>2.3.2  Hardware Specifications &amp; Compute Requirements</w:t>
      </w:r>
    </w:p>
    <w:p>
      <w:pPr>
        <w:keepNext/>
        <w:spacing w:before="200" w:after="80"/>
        <w:jc w:val="center"/>
      </w:pPr>
      <w:r>
        <w:rPr>
          <w:rFonts w:ascii="Calibri" w:hAnsi="Calibri"/>
          <w:b/>
          <w:color w:val="1F4E79"/>
          <w:sz w:val="20"/>
        </w:rPr>
        <w:t>Table 2.2: Hardware Specifications &amp; Compute Requirements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938"/>
        <w:gridCol w:w="2938"/>
        <w:gridCol w:w="2938"/>
      </w:tblGrid>
      <w:tr>
        <w:trPr>
          <w:cantSplit/>
          <w:tblHeader/>
        </w:trPr>
        <w:tc>
          <w:tcPr>
            <w:tcW w:type="dxa" w:w="259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Hardware Resource</w:t>
            </w:r>
          </w:p>
        </w:tc>
        <w:tc>
          <w:tcPr>
            <w:tcW w:type="dxa" w:w="302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Minimum Specification</w:t>
            </w:r>
          </w:p>
        </w:tc>
        <w:tc>
          <w:tcPr>
            <w:tcW w:type="dxa" w:w="316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Recommended Specification</w:t>
            </w:r>
          </w:p>
        </w:tc>
      </w:tr>
      <w:tr>
        <w:trPr>
          <w:cantSplit/>
        </w:trPr>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Processor (CPU)</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Intel Core i5 / AMD Ryzen 5 (4 Cores, 2.5 GHz)</w:t>
            </w:r>
          </w:p>
        </w:tc>
        <w:tc>
          <w:tcPr>
            <w:tcW w:type="dxa" w:w="316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Intel Core i7 / Apple Silicon M1/M2/M3 (8+ Cores)</w:t>
            </w:r>
          </w:p>
        </w:tc>
      </w:tr>
      <w:tr>
        <w:trPr>
          <w:cantSplit/>
        </w:trPr>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System Memory (RAM)</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 GB DDR4</w:t>
            </w:r>
          </w:p>
        </w:tc>
        <w:tc>
          <w:tcPr>
            <w:tcW w:type="dxa" w:w="316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16 GB DDR4/DDR5 (Required for running local 7B LLM)</w:t>
            </w:r>
          </w:p>
        </w:tc>
      </w:tr>
      <w:tr>
        <w:trPr>
          <w:cantSplit/>
        </w:trPr>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Storage Space</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500 MB free disk space</w:t>
            </w:r>
          </w:p>
        </w:tc>
        <w:tc>
          <w:tcPr>
            <w:tcW w:type="dxa" w:w="316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5 GB free SSD space (for caching local model weights)</w:t>
            </w:r>
          </w:p>
        </w:tc>
      </w:tr>
      <w:tr>
        <w:trPr>
          <w:cantSplit/>
        </w:trPr>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Display Resolution</w:t>
            </w:r>
          </w:p>
        </w:tc>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1280 x 720 (HD)</w:t>
            </w:r>
          </w:p>
        </w:tc>
        <w:tc>
          <w:tcPr>
            <w:tcW w:type="dxa" w:w="316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1920 x 1080 (Full HD) or higher high-DPI display</w:t>
            </w:r>
          </w:p>
        </w:tc>
      </w:tr>
      <w:tr>
        <w:trPr>
          <w:cantSplit/>
        </w:trPr>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Network Connectivity</w:t>
            </w:r>
          </w:p>
        </w:tc>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Standard Broadband (1 Mbps)</w:t>
            </w:r>
          </w:p>
        </w:tc>
        <w:tc>
          <w:tcPr>
            <w:tcW w:type="dxa" w:w="316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High-Speed Internet (10+ Mbps for live price polling)</w:t>
            </w:r>
          </w:p>
        </w:tc>
      </w:tr>
    </w:tbl>
    <w:p>
      <w:pPr>
        <w:spacing w:before="0" w:after="120"/>
      </w:pPr>
    </w:p>
    <w:p>
      <w:pPr>
        <w:keepNext/>
        <w:spacing w:before="240" w:after="80"/>
      </w:pPr>
      <w:r>
        <w:rPr>
          <w:rFonts w:ascii="Calibri" w:hAnsi="Calibri"/>
          <w:b/>
          <w:color w:val="2E74B5"/>
          <w:sz w:val="26"/>
        </w:rPr>
        <w:t>2.4  Feasibility Study</w:t>
      </w:r>
    </w:p>
    <w:p>
      <w:pPr>
        <w:keepNext/>
        <w:spacing w:before="180" w:after="60"/>
      </w:pPr>
      <w:r>
        <w:rPr>
          <w:rFonts w:ascii="Calibri" w:hAnsi="Calibri"/>
          <w:b/>
          <w:color w:val="1E293B"/>
          <w:sz w:val="23"/>
        </w:rPr>
        <w:t>2.4.1  Technical Feasibility &amp; Modern Web Standards</w:t>
      </w:r>
    </w:p>
    <w:p>
      <w:pPr>
        <w:spacing w:before="0" w:after="120" w:line="276" w:lineRule="auto"/>
        <w:jc w:val="both"/>
      </w:pPr>
      <w:r>
        <w:rPr>
          <w:rFonts w:ascii="Calibri" w:hAnsi="Calibri"/>
          <w:color w:val="1E293B"/>
          <w:sz w:val="22"/>
        </w:rPr>
        <w:t>WealthOS is highly technically feasible due to the advanced capabilities of modern web browsers. React 19 provides concurrent rendering and efficient virtual DOM updates, enabling smooth 60 FPS UI rendering even when real-time ticker prices update multiple times per second. The W3C Web Crypto API provides native, C++ accelerated cryptographic operations directly in the browser engine without requiring external compiled binaries. Local on-device AI inference is made possible by Ollama's local HTTP API (running on port 11434), allowing the browser to execute asynchronous JSON-RPC calls directly to local LLM processes without sending any sensitive prompts to the external internet.</w:t>
      </w:r>
    </w:p>
    <w:p>
      <w:pPr>
        <w:keepNext/>
        <w:spacing w:before="180" w:after="60"/>
      </w:pPr>
      <w:r>
        <w:rPr>
          <w:rFonts w:ascii="Calibri" w:hAnsi="Calibri"/>
          <w:b/>
          <w:color w:val="1E293B"/>
          <w:sz w:val="23"/>
        </w:rPr>
        <w:t>2.4.2  Robustness, Resilience &amp; Failover Modeling</w:t>
      </w:r>
    </w:p>
    <w:p>
      <w:pPr>
        <w:spacing w:before="0" w:after="120" w:line="276" w:lineRule="auto"/>
        <w:jc w:val="both"/>
      </w:pPr>
      <w:r>
        <w:rPr>
          <w:rFonts w:ascii="Calibri" w:hAnsi="Calibri"/>
          <w:color w:val="1E293B"/>
          <w:sz w:val="22"/>
        </w:rPr>
        <w:t>To ensure continuous operation during public API rate-limits or temporary internet disconnections, WealthOS incorporates a robust fallback price simulator based on Geometric Brownian Motion (GBM). If an external endpoint (e.g., CoinGecko or MFAPI) returns HTTP 429 or fails to respond, the system seamlessly switches to synthetic price evolution parameterized with empirical volatility, ensuring that rebalancing calculations and user workflows continue uninterrupted. Furthermore, React Error Boundaries protect the application from unhandled component crashes.</w:t>
      </w:r>
    </w:p>
    <w:p>
      <w:pPr>
        <w:keepNext/>
        <w:spacing w:before="180" w:after="60"/>
      </w:pPr>
      <w:r>
        <w:rPr>
          <w:rFonts w:ascii="Calibri" w:hAnsi="Calibri"/>
          <w:b/>
          <w:color w:val="1E293B"/>
          <w:sz w:val="23"/>
        </w:rPr>
        <w:t>2.4.3  Economic &amp; Operational Feasibility</w:t>
      </w:r>
    </w:p>
    <w:p>
      <w:pPr>
        <w:spacing w:before="0" w:after="240" w:line="276" w:lineRule="auto"/>
        <w:jc w:val="both"/>
      </w:pPr>
      <w:r>
        <w:rPr>
          <w:rFonts w:ascii="Calibri" w:hAnsi="Calibri"/>
          <w:color w:val="1E293B"/>
          <w:sz w:val="22"/>
        </w:rPr>
        <w:t>From an economic perspective, WealthOS boasts an operational cost of virtually zero. By eliminating centralized backend application servers and database clusters, the system incurs no monthly cloud hosting, database licensing, or bandwidth egress fees. The software is 100% open-source, utilizing free public financial API endpoints. For the retail investor, WealthOS eliminates the 0.5%–1.5% annual advisory management fees typically charged by traditional wealth managers, resulting in tens of thousands of rupees saved over an investment horizon.</w:t>
      </w:r>
    </w:p>
    <w:p>
      <w:r>
        <w:br w:type="page"/>
      </w:r>
    </w:p>
    <w:p>
      <w:pPr>
        <w:keepNext/>
        <w:spacing w:before="320" w:after="120"/>
      </w:pPr>
      <w:r>
        <w:rPr>
          <w:rFonts w:ascii="Calibri" w:hAnsi="Calibri"/>
          <w:b/>
          <w:color w:val="1F4E79"/>
          <w:sz w:val="31"/>
        </w:rPr>
        <w:t>CHAPTER 3  ARCHITECTURAL DESIGN</w:t>
      </w:r>
    </w:p>
    <w:p>
      <w:pPr>
        <w:spacing w:before="0" w:after="160" w:line="276" w:lineRule="auto"/>
        <w:jc w:val="both"/>
      </w:pPr>
      <w:r>
        <w:rPr>
          <w:rFonts w:ascii="Calibri" w:hAnsi="Calibri"/>
          <w:color w:val="1E293B"/>
          <w:sz w:val="22"/>
        </w:rPr>
        <w:t>WealthOS is engineered according to a highly modular, decoupled, edge-first architecture. By enforcing strict separation of concerns, the failure or network latency of an external service—such as an intermittent public API outage or a delayed AI response—does not compromise the core portfolio valuation, local vault encryption, or client-side trade execution pipelines. This chapter details the functional modules, algorithmic methods, formal architectural models, and analytical visualizations governing the platform.</w:t>
      </w:r>
    </w:p>
    <w:p>
      <w:pPr>
        <w:keepNext/>
        <w:spacing w:before="240" w:after="80"/>
      </w:pPr>
      <w:r>
        <w:rPr>
          <w:rFonts w:ascii="Calibri" w:hAnsi="Calibri"/>
          <w:b/>
          <w:color w:val="2E74B5"/>
          <w:sz w:val="26"/>
        </w:rPr>
        <w:t>3.1  System Modules Design</w:t>
      </w:r>
    </w:p>
    <w:p>
      <w:pPr>
        <w:keepNext/>
        <w:spacing w:before="180" w:after="60"/>
      </w:pPr>
      <w:r>
        <w:rPr>
          <w:rFonts w:ascii="Calibri" w:hAnsi="Calibri"/>
          <w:b/>
          <w:color w:val="1E293B"/>
          <w:sz w:val="23"/>
        </w:rPr>
        <w:t>3.1.1  Authentication &amp; Zero-Knowledge Security Vault Module</w:t>
      </w:r>
    </w:p>
    <w:p>
      <w:pPr>
        <w:spacing w:before="0" w:after="120" w:line="276" w:lineRule="auto"/>
        <w:jc w:val="both"/>
      </w:pPr>
      <w:r>
        <w:rPr>
          <w:rFonts w:ascii="Calibri" w:hAnsi="Calibri"/>
          <w:color w:val="1E293B"/>
          <w:sz w:val="22"/>
        </w:rPr>
        <w:t>The Authentication &amp; Security Vault Module secures all user financial assets and configuration data entirely on the client device. Upon initial setup, the user establishes a local master passphrase. Using the native W3C Web Crypto API, the system derives an AES-GCM-256 encryption key via PBKDF2 (Password-Based Key Derivation Function 2) with 100,000 hashing iterations and a cryptographically secure random salt. All portfolio balances, holding quantities, and custom target weights are encrypted before being committed to browser localStorage. No plaintext financial data is ever written to disk or transmitted over the network, ensuring zero-knowledge privacy.</w:t>
      </w:r>
    </w:p>
    <w:p>
      <w:pPr>
        <w:keepNext/>
        <w:spacing w:before="180" w:after="60"/>
      </w:pPr>
      <w:r>
        <w:rPr>
          <w:rFonts w:ascii="Calibri" w:hAnsi="Calibri"/>
          <w:b/>
          <w:color w:val="1E293B"/>
          <w:sz w:val="23"/>
        </w:rPr>
        <w:t>3.1.2  Multi-Asset Real-Time Market Data Ingestion Module</w:t>
      </w:r>
    </w:p>
    <w:p>
      <w:pPr>
        <w:spacing w:before="0" w:after="120" w:line="276" w:lineRule="auto"/>
        <w:jc w:val="both"/>
      </w:pPr>
      <w:r>
        <w:rPr>
          <w:rFonts w:ascii="Calibri" w:hAnsi="Calibri"/>
          <w:color w:val="1E293B"/>
          <w:sz w:val="22"/>
        </w:rPr>
        <w:t>This module continuously ingests live price data across four distinct asset classes via asynchronous REST fetching and intelligent polling: (1) Cryptocurrencies: CoinGecko API for spot prices and 24-hour volume of BTC, ETH, and SOL; (2) Mutual Funds: MFAPI.in for real-time NAV quotes across direct growth Indian equity and debt funds; (3) Indian Equities: Real-time price tracking for NIFTY 50 and blue-chip equities; and (4) Precious Metals: Gold and Silver spot rates per gram in INR. The module incorporates exponential backoff rate-limit management and seamlessly activates a Geometric Brownian Motion (GBM) synthetic price simulator during network outages or API throttling.</w:t>
      </w:r>
    </w:p>
    <w:p>
      <w:pPr>
        <w:keepNext/>
        <w:spacing w:before="180" w:after="60"/>
      </w:pPr>
      <w:r>
        <w:rPr>
          <w:rFonts w:ascii="Calibri" w:hAnsi="Calibri"/>
          <w:b/>
          <w:color w:val="1E293B"/>
          <w:sz w:val="23"/>
        </w:rPr>
        <w:t>3.1.3  Mathematical Portfolio Drift &amp; Allocation Engine</w:t>
      </w:r>
    </w:p>
    <w:p>
      <w:pPr>
        <w:spacing w:before="0" w:after="120" w:line="276" w:lineRule="auto"/>
        <w:jc w:val="both"/>
      </w:pPr>
      <w:r>
        <w:rPr>
          <w:rFonts w:ascii="Calibri" w:hAnsi="Calibri"/>
          <w:color w:val="1E293B"/>
          <w:sz w:val="22"/>
        </w:rPr>
        <w:t>Operating on an autonomous 25-second heartbeat cycle, this engine continuously computes total portfolio net worth, instantaneous asset valuations, and percentage allocation weights. It compares current weights w_i(t) against the user's strategic target weights w_i*, evaluating whether any asset class has breached the configurable deadband threshold (tau = 5%). If a breach is detected, the engine calculates the exact monetary rebalancing delta required to restore equilibrium.</w:t>
      </w:r>
    </w:p>
    <w:p>
      <w:pPr>
        <w:keepNext/>
        <w:spacing w:before="180" w:after="60"/>
      </w:pPr>
      <w:r>
        <w:rPr>
          <w:rFonts w:ascii="Calibri" w:hAnsi="Calibri"/>
          <w:b/>
          <w:color w:val="1E293B"/>
          <w:sz w:val="23"/>
        </w:rPr>
        <w:t>3.1.4  Dual-Agentic AI Copilot Module</w:t>
      </w:r>
    </w:p>
    <w:p>
      <w:pPr>
        <w:spacing w:before="0" w:after="120" w:line="276" w:lineRule="auto"/>
        <w:jc w:val="both"/>
      </w:pPr>
      <w:r>
        <w:rPr>
          <w:rFonts w:ascii="Calibri" w:hAnsi="Calibri"/>
          <w:color w:val="1E293B"/>
          <w:sz w:val="22"/>
        </w:rPr>
        <w:t>WealthOS features a specialized dual-engine AI reasoning architecture: (1) Local On-Device Agent: Connects directly via HTTP localhost (port 11434) to an Ollama runtime executing compact, high-performance LLMs (Qwen 2.5 Coder 7B or Llama 3.2 3B). This agent analyzes confidential portfolio positions and generates trade explanations completely offline, guaranteeing zero data leakage; and (2) Cloud Copilot Fallback: Integrates Google Gemini 1.5 Flash and Groq Cloud (Llama 3.3 70B) for high-speed macroeconomic news analysis and broad financial explanations.</w:t>
      </w:r>
    </w:p>
    <w:p>
      <w:pPr>
        <w:keepNext/>
        <w:spacing w:before="180" w:after="60"/>
      </w:pPr>
      <w:r>
        <w:rPr>
          <w:rFonts w:ascii="Calibri" w:hAnsi="Calibri"/>
          <w:b/>
          <w:color w:val="1E293B"/>
          <w:sz w:val="23"/>
        </w:rPr>
        <w:t>3.1.5  Autonomous Rebalancing &amp; Order Routing Engine</w:t>
      </w:r>
    </w:p>
    <w:p>
      <w:pPr>
        <w:spacing w:before="0" w:after="120" w:line="276" w:lineRule="auto"/>
        <w:jc w:val="both"/>
      </w:pPr>
      <w:r>
        <w:rPr>
          <w:rFonts w:ascii="Calibri" w:hAnsi="Calibri"/>
          <w:color w:val="1E293B"/>
          <w:sz w:val="22"/>
        </w:rPr>
        <w:t>When autonomous mode is enabled and a threshold breach is confirmed, this engine generates rebalance trade tickets. It calculates required asset sales to free up cash, followed by simulated market buy orders for lagging assets. In manual mode, it presents proposed trade tickets with an AI rationale to the user for one-click confirmation. Simulated order execution includes realistic slippage and commission calculations.</w:t>
      </w:r>
    </w:p>
    <w:p>
      <w:pPr>
        <w:keepNext/>
        <w:spacing w:before="180" w:after="60"/>
      </w:pPr>
      <w:r>
        <w:rPr>
          <w:rFonts w:ascii="Calibri" w:hAnsi="Calibri"/>
          <w:b/>
          <w:color w:val="1E293B"/>
          <w:sz w:val="23"/>
        </w:rPr>
        <w:t>3.1.6  Interactive MarketWatch &amp; Terminal Module</w:t>
      </w:r>
    </w:p>
    <w:p>
      <w:pPr>
        <w:spacing w:before="0" w:after="120" w:line="276" w:lineRule="auto"/>
        <w:jc w:val="both"/>
      </w:pPr>
      <w:r>
        <w:rPr>
          <w:rFonts w:ascii="Calibri" w:hAnsi="Calibri"/>
          <w:color w:val="1E293B"/>
          <w:sz w:val="22"/>
        </w:rPr>
        <w:t>Provides an interactive market terminal displaying real-time asset prices, 24-hour percentage changes, trading volume, and visual mini-sparklines. Investors can inspect individual asset metrics, view real-time simulated order books with bid/ask depth, and initiate manual buy/sell trades.</w:t>
      </w:r>
    </w:p>
    <w:p>
      <w:pPr>
        <w:keepNext/>
        <w:spacing w:before="180" w:after="60"/>
      </w:pPr>
      <w:r>
        <w:rPr>
          <w:rFonts w:ascii="Calibri" w:hAnsi="Calibri"/>
          <w:b/>
          <w:color w:val="1E293B"/>
          <w:sz w:val="23"/>
        </w:rPr>
        <w:t>3.1.7  Cryptographic Transaction Ledger &amp; UPI Settlement Simulator</w:t>
      </w:r>
    </w:p>
    <w:p>
      <w:pPr>
        <w:spacing w:before="0" w:after="120" w:line="276" w:lineRule="auto"/>
        <w:jc w:val="both"/>
      </w:pPr>
      <w:r>
        <w:rPr>
          <w:rFonts w:ascii="Calibri" w:hAnsi="Calibri"/>
          <w:color w:val="1E293B"/>
          <w:sz w:val="22"/>
        </w:rPr>
        <w:t>Every portfolio trade, manual swap, cash deposit, or autonomous rebalance is committed to a tamper-evident client-side transaction ledger. Each entry records the timestamp, asset symbol, transaction type (BUY/SELL/REBALANCE), execution price, quantity, monetary total, and the associated AI rationale. The module also features a simulated Unified Payments Interface (UPI) liquidity generator for instant fiat funding.</w:t>
      </w:r>
    </w:p>
    <w:p>
      <w:pPr>
        <w:keepNext/>
        <w:spacing w:before="180" w:after="60"/>
      </w:pPr>
      <w:r>
        <w:rPr>
          <w:rFonts w:ascii="Calibri" w:hAnsi="Calibri"/>
          <w:b/>
          <w:color w:val="1E293B"/>
          <w:sz w:val="23"/>
        </w:rPr>
        <w:t>3.1.8  Risk Analytics &amp; Visualisation Engine</w:t>
      </w:r>
    </w:p>
    <w:p>
      <w:pPr>
        <w:spacing w:before="0" w:after="160" w:line="276" w:lineRule="auto"/>
        <w:jc w:val="both"/>
      </w:pPr>
      <w:r>
        <w:rPr>
          <w:rFonts w:ascii="Calibri" w:hAnsi="Calibri"/>
          <w:color w:val="1E293B"/>
          <w:sz w:val="22"/>
        </w:rPr>
        <w:t>Built on Recharts, this module renders interactive financial analytics: dynamic asset allocation donut charts, target vs. actual weight comparison bars, volatility gauges, historical performance curves, and real-time drift telemetry indicators.</w:t>
      </w:r>
    </w:p>
    <w:p>
      <w:pPr>
        <w:keepNext/>
        <w:spacing w:before="240" w:after="80"/>
      </w:pPr>
      <w:r>
        <w:rPr>
          <w:rFonts w:ascii="Calibri" w:hAnsi="Calibri"/>
          <w:b/>
          <w:color w:val="2E74B5"/>
          <w:sz w:val="26"/>
        </w:rPr>
        <w:t>3.2  Method &amp; Algorithm Design</w:t>
      </w:r>
    </w:p>
    <w:p>
      <w:pPr>
        <w:keepNext/>
        <w:spacing w:before="180" w:after="60"/>
      </w:pPr>
      <w:r>
        <w:rPr>
          <w:rFonts w:ascii="Calibri" w:hAnsi="Calibri"/>
          <w:b/>
          <w:color w:val="1E293B"/>
          <w:sz w:val="23"/>
        </w:rPr>
        <w:t>Algorithm 3.1: Real-Time Multi-Asset Portfolio Drift Calculation</w:t>
      </w:r>
    </w:p>
    <w:p>
      <w:pPr>
        <w:spacing w:before="0" w:after="80" w:line="276" w:lineRule="auto"/>
        <w:jc w:val="both"/>
      </w:pPr>
      <w:r>
        <w:rPr>
          <w:rFonts w:ascii="Calibri" w:hAnsi="Calibri"/>
          <w:color w:val="1E293B"/>
          <w:sz w:val="22"/>
        </w:rPr>
        <w:t>This algorithm executes every 25 seconds across all configured portfolio assets to quantify instantaneous percentage drift.</w:t>
      </w:r>
    </w:p>
    <w:tbl>
      <w:tblPr>
        <w:tblW w:type="auto" w:w="0"/>
        <w:jc w:val="center"/>
        <w:tblLook w:firstColumn="1" w:firstRow="1" w:lastColumn="0" w:lastRow="0" w:noHBand="0" w:noVBand="1" w:val="04A0"/>
      </w:tblPr>
      <w:tblGrid>
        <w:gridCol w:w="8813"/>
      </w:tblGrid>
      <w:tr>
        <w:tc>
          <w:tcPr>
            <w:tcW w:type="dxa" w:w="8813"/>
            <w:shd w:fill="0F172A"/>
            <w:tcMar>
              <w:top w:w="120" w:type="dxa"/>
              <w:bottom w:w="120" w:type="dxa"/>
              <w:left w:w="160" w:type="dxa"/>
              <w:right w:w="160" w:type="dxa"/>
            </w:tcMar>
          </w:tcPr>
          <w:p>
            <w:pPr>
              <w:spacing w:before="0" w:after="0" w:line="252" w:lineRule="auto"/>
            </w:pPr>
            <w:r>
              <w:rPr>
                <w:rFonts w:ascii="Consolas" w:hAnsi="Consolas"/>
                <w:color w:val="E2E8F0"/>
                <w:sz w:val="18"/>
              </w:rPr>
              <w:t>Algorithm 3.1: Multi-Asset Portfolio Drift Engine</w:t>
              <w:br/>
              <w:t>Input: Asset list A = {a_1, a_2, ..., a_M}, Quantities Q = {q_1, q_2, ..., q_M},</w:t>
              <w:br/>
              <w:t xml:space="preserve">       Target Weights W* = {w_1*, w_2*, ..., w_M*}, Tolerance Threshold tau (default 0.05)</w:t>
              <w:br/>
              <w:t>Output: Total Valuation V, Current Weights W, Drift Vector Delta_W, RebalanceTriggered (boolean)</w:t>
              <w:br/>
              <w:br/>
              <w:t>1.  Initialize total_val = 0.0, max_drift = 0.0, RebalanceTriggered = False</w:t>
              <w:br/>
              <w:t>2.  For each asset a_i in A:</w:t>
              <w:br/>
              <w:t>3.      p_i = FetchRealtimePrice(a_i.symbol)  // CoinGecko / MFAPI / Yahoo</w:t>
              <w:br/>
              <w:t>4.      v_i = q_i * p_i</w:t>
              <w:br/>
              <w:t>5.      total_val = total_val + v_i</w:t>
              <w:br/>
              <w:t>6.  End For</w:t>
              <w:br/>
              <w:t>7.  For each asset a_i in A:</w:t>
              <w:br/>
              <w:t>8.      w_i = v_i / total_val</w:t>
              <w:br/>
              <w:t>9.      delta_w_i = w_i - w_i*</w:t>
              <w:br/>
              <w:t>10.     If abs(delta_w_i) &gt; max_drift Then:</w:t>
              <w:br/>
              <w:t>11.         max_drift = abs(delta_w_i)</w:t>
              <w:br/>
              <w:t>12.     End If</w:t>
              <w:br/>
              <w:t>13. End For</w:t>
              <w:br/>
              <w:t>14. If max_drift &gt;= tau Then:</w:t>
              <w:br/>
              <w:t>15.     RebalanceTriggered = True</w:t>
              <w:br/>
              <w:t>16. End If</w:t>
              <w:br/>
              <w:t>17. Return (total_val, W, Delta_W, RebalanceTriggered)</w:t>
            </w:r>
          </w:p>
        </w:tc>
      </w:tr>
    </w:tbl>
    <w:p>
      <w:pPr>
        <w:spacing w:before="40" w:after="160"/>
        <w:jc w:val="center"/>
      </w:pPr>
      <w:r>
        <w:rPr>
          <w:rFonts w:ascii="Calibri" w:hAnsi="Calibri"/>
          <w:b/>
          <w:color w:val="64748B"/>
          <w:sz w:val="18"/>
        </w:rPr>
        <w:t>Algorithm 3.1: Real-Time Multi-Asset Portfolio Drift Calculation</w:t>
      </w:r>
    </w:p>
    <w:p>
      <w:pPr>
        <w:keepNext/>
        <w:spacing w:before="180" w:after="60"/>
      </w:pPr>
      <w:r>
        <w:rPr>
          <w:rFonts w:ascii="Calibri" w:hAnsi="Calibri"/>
          <w:b/>
          <w:color w:val="1E293B"/>
          <w:sz w:val="23"/>
        </w:rPr>
        <w:t>Algorithm 3.2: Autonomous Trade Delta Optimization &amp; Order Formulator</w:t>
      </w:r>
    </w:p>
    <w:p>
      <w:pPr>
        <w:spacing w:before="0" w:after="80" w:line="276" w:lineRule="auto"/>
        <w:jc w:val="both"/>
      </w:pPr>
      <w:r>
        <w:rPr>
          <w:rFonts w:ascii="Calibri" w:hAnsi="Calibri"/>
          <w:color w:val="1E293B"/>
          <w:sz w:val="22"/>
        </w:rPr>
        <w:t>When RebalanceTriggered is True, this algorithm formulates the exact sequence of SELL and BUY orders required to restore target weights.</w:t>
      </w:r>
    </w:p>
    <w:tbl>
      <w:tblPr>
        <w:tblW w:type="auto" w:w="0"/>
        <w:jc w:val="center"/>
        <w:tblLook w:firstColumn="1" w:firstRow="1" w:lastColumn="0" w:lastRow="0" w:noHBand="0" w:noVBand="1" w:val="04A0"/>
      </w:tblPr>
      <w:tblGrid>
        <w:gridCol w:w="8813"/>
      </w:tblGrid>
      <w:tr>
        <w:tc>
          <w:tcPr>
            <w:tcW w:type="dxa" w:w="8813"/>
            <w:shd w:fill="0F172A"/>
            <w:tcMar>
              <w:top w:w="120" w:type="dxa"/>
              <w:bottom w:w="120" w:type="dxa"/>
              <w:left w:w="160" w:type="dxa"/>
              <w:right w:w="160" w:type="dxa"/>
            </w:tcMar>
          </w:tcPr>
          <w:p>
            <w:pPr>
              <w:spacing w:before="0" w:after="0" w:line="252" w:lineRule="auto"/>
            </w:pPr>
            <w:r>
              <w:rPr>
                <w:rFonts w:ascii="Consolas" w:hAnsi="Consolas"/>
                <w:color w:val="E2E8F0"/>
                <w:sz w:val="18"/>
              </w:rPr>
              <w:t>Algorithm 3.2: Autonomous Trade Delta Formulation</w:t>
              <w:br/>
              <w:t>Input: Total Valuation V, Target Weights W*, Current Weights W, Prices P, Cash Balance C</w:t>
              <w:br/>
              <w:t>Output: Executable Order List Orders = {o_1, o_2, ..., o_K}</w:t>
              <w:br/>
              <w:br/>
              <w:t>1.  Initialize Orders = [], simulated_cash = C</w:t>
              <w:br/>
              <w:t>2.  // Phase 1: Formulate SELL orders for overweight assets</w:t>
              <w:br/>
              <w:t>3.  For each asset a_i where (w_i - w_i*) &gt; 0:</w:t>
              <w:br/>
              <w:t>4.      excess_monetary_val = V * (w_i - w_i*)</w:t>
              <w:br/>
              <w:t>5.      sell_qty = excess_monetary_val / P[a_i]</w:t>
              <w:br/>
              <w:t>6.      Orders.append({type: 'SELL', symbol: a_i.symbol, qty: sell_qty, price: P[a_i]})</w:t>
              <w:br/>
              <w:t>7.      simulated_cash = simulated_cash + excess_monetary_val</w:t>
              <w:br/>
              <w:t>8.  End For</w:t>
              <w:br/>
              <w:t>9.  // Phase 2: Formulate BUY orders for underweight assets</w:t>
              <w:br/>
              <w:t>10. For each asset a_j where (w_j* - w_j) &gt; 0:</w:t>
              <w:br/>
              <w:t>11.     deficit_monetary_val = V * (w_j* - w_j)</w:t>
              <w:br/>
              <w:t>12.     If simulated_cash &gt;= deficit_monetary_val Then:</w:t>
              <w:br/>
              <w:t>13.         buy_qty = deficit_monetary_val / P[a_j]</w:t>
              <w:br/>
              <w:t>14.         Orders.append({type: 'BUY', symbol: a_j.symbol, qty: buy_qty, price: P[a_j]})</w:t>
              <w:br/>
              <w:t>15.         simulated_cash = simulated_cash - deficit_monetary_val</w:t>
              <w:br/>
              <w:t>16.     End If</w:t>
              <w:br/>
              <w:t>17. End For</w:t>
              <w:br/>
              <w:t>18. Return Orders</w:t>
            </w:r>
          </w:p>
        </w:tc>
      </w:tr>
    </w:tbl>
    <w:p>
      <w:pPr>
        <w:spacing w:before="40" w:after="160"/>
        <w:jc w:val="center"/>
      </w:pPr>
      <w:r>
        <w:rPr>
          <w:rFonts w:ascii="Calibri" w:hAnsi="Calibri"/>
          <w:b/>
          <w:color w:val="64748B"/>
          <w:sz w:val="18"/>
        </w:rPr>
        <w:t>Algorithm 3.2: Autonomous Trade Delta Formulation &amp; Execution</w:t>
      </w:r>
    </w:p>
    <w:p>
      <w:pPr>
        <w:keepNext/>
        <w:spacing w:before="180" w:after="60"/>
      </w:pPr>
      <w:r>
        <w:rPr>
          <w:rFonts w:ascii="Calibri" w:hAnsi="Calibri"/>
          <w:b/>
          <w:color w:val="1E293B"/>
          <w:sz w:val="23"/>
        </w:rPr>
        <w:t>Algorithm 3.3: Dual-LLM Chain-of-Thought (CoT) Prompt Synthesis</w:t>
      </w:r>
    </w:p>
    <w:p>
      <w:pPr>
        <w:spacing w:before="0" w:after="80" w:line="276" w:lineRule="auto"/>
        <w:jc w:val="both"/>
      </w:pPr>
      <w:r>
        <w:rPr>
          <w:rFonts w:ascii="Calibri" w:hAnsi="Calibri"/>
          <w:color w:val="1E293B"/>
          <w:sz w:val="22"/>
        </w:rPr>
        <w:t>Synthesizes structured financial context into zero-shot ReAct prompts for local or cloud LLM reasoning.</w:t>
      </w:r>
    </w:p>
    <w:tbl>
      <w:tblPr>
        <w:tblW w:type="auto" w:w="0"/>
        <w:jc w:val="center"/>
        <w:tblLook w:firstColumn="1" w:firstRow="1" w:lastColumn="0" w:lastRow="0" w:noHBand="0" w:noVBand="1" w:val="04A0"/>
      </w:tblPr>
      <w:tblGrid>
        <w:gridCol w:w="8813"/>
      </w:tblGrid>
      <w:tr>
        <w:tc>
          <w:tcPr>
            <w:tcW w:type="dxa" w:w="8813"/>
            <w:shd w:fill="0F172A"/>
            <w:tcMar>
              <w:top w:w="120" w:type="dxa"/>
              <w:bottom w:w="120" w:type="dxa"/>
              <w:left w:w="160" w:type="dxa"/>
              <w:right w:w="160" w:type="dxa"/>
            </w:tcMar>
          </w:tcPr>
          <w:p>
            <w:pPr>
              <w:spacing w:before="0" w:after="0" w:line="252" w:lineRule="auto"/>
            </w:pPr>
            <w:r>
              <w:rPr>
                <w:rFonts w:ascii="Consolas" w:hAnsi="Consolas"/>
                <w:color w:val="E2E8F0"/>
                <w:sz w:val="18"/>
              </w:rPr>
              <w:t>Algorithm 3.3: Dual-LLM Chain-of-Thought Synthesis</w:t>
              <w:br/>
              <w:t>Input: User Prompt UP, Portfolio Context PC (Valuation, Weights, Drift, Orders), LLMPreference</w:t>
              <w:br/>
              <w:t>Output: Natural Language Rationale, Risk Audit, Decision Tree</w:t>
              <w:br/>
              <w:br/>
              <w:t>1.  system_prompt = "You are WealthOS Financial Intelligence Agent. Analyze portfolio drift mathematically."</w:t>
              <w:br/>
              <w:t>2.  structured_ctx = FormatContextAsJSON(PC)</w:t>
              <w:br/>
              <w:t>3.  payload = { prompt: UP, context: structured_ctx, temperature: 0.2 }</w:t>
              <w:br/>
              <w:t>4.  If LLMPreference == 'LOCAL_OLLAMA' Then:</w:t>
              <w:br/>
              <w:t>5.      response = POST('http://127.0.0.1:11434/api/chat', model='qwen2.5-coder:7b', payload)</w:t>
              <w:br/>
              <w:t>6.  Else:</w:t>
              <w:br/>
              <w:t>7.      response = POST('https://api.groq.com/openai/v1/chat/completions', model='llama-3.3-70b', payload)</w:t>
              <w:br/>
              <w:t>8.  End If</w:t>
              <w:br/>
              <w:t>9.  cot_rationale = ExtractReasoningSteps(response)</w:t>
              <w:br/>
              <w:t>10. Return cot_rationale</w:t>
            </w:r>
          </w:p>
        </w:tc>
      </w:tr>
    </w:tbl>
    <w:p>
      <w:pPr>
        <w:spacing w:before="40" w:after="160"/>
        <w:jc w:val="center"/>
      </w:pPr>
      <w:r>
        <w:rPr>
          <w:rFonts w:ascii="Calibri" w:hAnsi="Calibri"/>
          <w:b/>
          <w:color w:val="64748B"/>
          <w:sz w:val="18"/>
        </w:rPr>
        <w:t>Algorithm 3.3: Dual-LLM Chain-of-Thought Prompt Synthesis</w:t>
      </w:r>
    </w:p>
    <w:p>
      <w:pPr>
        <w:keepNext/>
        <w:spacing w:before="240" w:after="80"/>
      </w:pPr>
      <w:r>
        <w:rPr>
          <w:rFonts w:ascii="Calibri" w:hAnsi="Calibri"/>
          <w:b/>
          <w:color w:val="2E74B5"/>
          <w:sz w:val="26"/>
        </w:rPr>
        <w:t>3.3  Core Architectural Diagrams</w:t>
      </w:r>
    </w:p>
    <w:p>
      <w:pPr>
        <w:spacing w:before="0" w:after="120" w:line="276" w:lineRule="auto"/>
        <w:jc w:val="both"/>
      </w:pPr>
      <w:r>
        <w:rPr>
          <w:rFonts w:ascii="Calibri" w:hAnsi="Calibri"/>
          <w:color w:val="1E293B"/>
          <w:sz w:val="22"/>
        </w:rPr>
        <w:t>The following diagrams document the multi-tier architecture, data flow pipelines, object-oriented domain model, user interaction touchpoints, and execution workflows of the WealthOS platform.</w:t>
      </w:r>
    </w:p>
    <w:p>
      <w:pPr>
        <w:keepNext/>
        <w:spacing w:before="180" w:after="60"/>
      </w:pPr>
      <w:r>
        <w:rPr>
          <w:rFonts w:ascii="Calibri" w:hAnsi="Calibri"/>
          <w:b/>
          <w:color w:val="1E293B"/>
          <w:sz w:val="23"/>
        </w:rPr>
        <w:t>3.3.1  System Architecture Diagram</w:t>
      </w:r>
    </w:p>
    <w:p>
      <w:pPr>
        <w:keepNext/>
        <w:spacing w:before="160" w:after="60"/>
        <w:jc w:val="center"/>
      </w:pPr>
      <w:r>
        <w:drawing>
          <wp:inline xmlns:a="http://schemas.openxmlformats.org/drawingml/2006/main" xmlns:pic="http://schemas.openxmlformats.org/drawingml/2006/picture">
            <wp:extent cx="4846320" cy="4435615"/>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6"/>
                    <a:stretch>
                      <a:fillRect/>
                    </a:stretch>
                  </pic:blipFill>
                  <pic:spPr>
                    <a:xfrm>
                      <a:off x="0" y="0"/>
                      <a:ext cx="4846320" cy="4435615"/>
                    </a:xfrm>
                    <a:prstGeom prst="rect"/>
                  </pic:spPr>
                </pic:pic>
              </a:graphicData>
            </a:graphic>
          </wp:inline>
        </w:drawing>
      </w:r>
    </w:p>
    <w:p>
      <w:pPr>
        <w:keepNext w:val="0"/>
        <w:spacing w:before="40" w:after="160"/>
        <w:jc w:val="center"/>
      </w:pPr>
      <w:r>
        <w:rPr>
          <w:rFonts w:ascii="Calibri" w:hAnsi="Calibri"/>
          <w:b/>
          <w:color w:val="475569"/>
          <w:sz w:val="19"/>
        </w:rPr>
        <w:t>Figure 3.1: WealthOS Multi-Tier System Architecture Diagram</w:t>
      </w:r>
    </w:p>
    <w:p>
      <w:pPr>
        <w:spacing w:before="0" w:after="160" w:line="276" w:lineRule="auto"/>
        <w:jc w:val="both"/>
      </w:pPr>
      <w:r>
        <w:rPr>
          <w:rFonts w:ascii="Calibri" w:hAnsi="Calibri"/>
          <w:color w:val="1E293B"/>
          <w:sz w:val="22"/>
        </w:rPr>
        <w:t>Figure 3.1 illustrates WealthOS's multi-tier edge-first architecture. The client browser hosts the UI View Layer (React 19, Tailwind CSS, Recharts), the Core Business &amp; State Engine (Context API, Autonomous 25s Drift Loop, Rebalancing Formulator), and the Cryptographic Vault (Web Crypto AES-GCM-256). Ingestion services poll external live feeds (CoinGecko, MFAPI.in, Yahoo Finance) via CORS-compliant REST endpoints. Local AI operations communicate directly over localhost to Ollama without cloud egress.</w:t>
      </w:r>
    </w:p>
    <w:p>
      <w:pPr>
        <w:keepNext/>
        <w:spacing w:before="180" w:after="60"/>
      </w:pPr>
      <w:r>
        <w:rPr>
          <w:rFonts w:ascii="Calibri" w:hAnsi="Calibri"/>
          <w:b/>
          <w:color w:val="1E293B"/>
          <w:sz w:val="23"/>
        </w:rPr>
        <w:t>3.3.2  Data Flow Diagram (Level-1 &amp; Level-2)</w:t>
      </w:r>
    </w:p>
    <w:p>
      <w:pPr>
        <w:keepNext/>
        <w:spacing w:before="160" w:after="60"/>
        <w:jc w:val="center"/>
      </w:pPr>
      <w:r>
        <w:drawing>
          <wp:inline xmlns:a="http://schemas.openxmlformats.org/drawingml/2006/main" xmlns:pic="http://schemas.openxmlformats.org/drawingml/2006/picture">
            <wp:extent cx="4846320" cy="3614205"/>
            <wp:docPr id="3" name="Picture 3"/>
            <wp:cNvGraphicFramePr>
              <a:graphicFrameLocks noChangeAspect="1"/>
            </wp:cNvGraphicFramePr>
            <a:graphic>
              <a:graphicData uri="http://schemas.openxmlformats.org/drawingml/2006/picture">
                <pic:pic>
                  <pic:nvPicPr>
                    <pic:cNvPr id="0" name="fig2_dfd.png"/>
                    <pic:cNvPicPr/>
                  </pic:nvPicPr>
                  <pic:blipFill>
                    <a:blip r:embed="rId17"/>
                    <a:stretch>
                      <a:fillRect/>
                    </a:stretch>
                  </pic:blipFill>
                  <pic:spPr>
                    <a:xfrm>
                      <a:off x="0" y="0"/>
                      <a:ext cx="4846320" cy="3614205"/>
                    </a:xfrm>
                    <a:prstGeom prst="rect"/>
                  </pic:spPr>
                </pic:pic>
              </a:graphicData>
            </a:graphic>
          </wp:inline>
        </w:drawing>
      </w:r>
    </w:p>
    <w:p>
      <w:pPr>
        <w:keepNext w:val="0"/>
        <w:spacing w:before="40" w:after="160"/>
        <w:jc w:val="center"/>
      </w:pPr>
      <w:r>
        <w:rPr>
          <w:rFonts w:ascii="Calibri" w:hAnsi="Calibri"/>
          <w:b/>
          <w:color w:val="475569"/>
          <w:sz w:val="19"/>
        </w:rPr>
        <w:t>Figure 3.2: WealthOS Level-1 &amp; Level-2 Data Flow Diagram (DFD)</w:t>
      </w:r>
    </w:p>
    <w:p>
      <w:pPr>
        <w:spacing w:before="0" w:after="160" w:line="276" w:lineRule="auto"/>
        <w:jc w:val="both"/>
      </w:pPr>
      <w:r>
        <w:rPr>
          <w:rFonts w:ascii="Calibri" w:hAnsi="Calibri"/>
          <w:color w:val="1E293B"/>
          <w:sz w:val="22"/>
        </w:rPr>
        <w:t>Figure 3.2 traces data movement through the system: raw external market prices flow into the Ingestion Normalizer; normalized asset prices and user holdings flow into the Drift Calculation Engine; detected threshold breaches generate Trade Proposals forwarded to the AI Reasoner; and validated orders execute into the Cryptographic Transaction Ledger while updating the local encrypted vault.</w:t>
      </w:r>
    </w:p>
    <w:p>
      <w:pPr>
        <w:keepNext/>
        <w:spacing w:before="180" w:after="60"/>
      </w:pPr>
      <w:r>
        <w:rPr>
          <w:rFonts w:ascii="Calibri" w:hAnsi="Calibri"/>
          <w:b/>
          <w:color w:val="1E293B"/>
          <w:sz w:val="23"/>
        </w:rPr>
        <w:t>3.3.3  Object-Oriented Class &amp; State Diagram</w:t>
      </w:r>
    </w:p>
    <w:p>
      <w:pPr>
        <w:keepNext/>
        <w:spacing w:before="160" w:after="60"/>
        <w:jc w:val="center"/>
      </w:pPr>
      <w:r>
        <w:drawing>
          <wp:inline xmlns:a="http://schemas.openxmlformats.org/drawingml/2006/main" xmlns:pic="http://schemas.openxmlformats.org/drawingml/2006/picture">
            <wp:extent cx="4846320" cy="4189192"/>
            <wp:docPr id="4" name="Picture 4"/>
            <wp:cNvGraphicFramePr>
              <a:graphicFrameLocks noChangeAspect="1"/>
            </wp:cNvGraphicFramePr>
            <a:graphic>
              <a:graphicData uri="http://schemas.openxmlformats.org/drawingml/2006/picture">
                <pic:pic>
                  <pic:nvPicPr>
                    <pic:cNvPr id="0" name="fig3_class_diagram.png"/>
                    <pic:cNvPicPr/>
                  </pic:nvPicPr>
                  <pic:blipFill>
                    <a:blip r:embed="rId18"/>
                    <a:stretch>
                      <a:fillRect/>
                    </a:stretch>
                  </pic:blipFill>
                  <pic:spPr>
                    <a:xfrm>
                      <a:off x="0" y="0"/>
                      <a:ext cx="4846320" cy="4189192"/>
                    </a:xfrm>
                    <a:prstGeom prst="rect"/>
                  </pic:spPr>
                </pic:pic>
              </a:graphicData>
            </a:graphic>
          </wp:inline>
        </w:drawing>
      </w:r>
    </w:p>
    <w:p>
      <w:pPr>
        <w:keepNext w:val="0"/>
        <w:spacing w:before="40" w:after="160"/>
        <w:jc w:val="center"/>
      </w:pPr>
      <w:r>
        <w:rPr>
          <w:rFonts w:ascii="Calibri" w:hAnsi="Calibri"/>
          <w:b/>
          <w:color w:val="475569"/>
          <w:sz w:val="19"/>
        </w:rPr>
        <w:t>Figure 3.3: WealthOS Object-Oriented Class &amp; State Entity Diagram</w:t>
      </w:r>
    </w:p>
    <w:p>
      <w:pPr>
        <w:spacing w:before="0" w:after="160" w:line="276" w:lineRule="auto"/>
        <w:jc w:val="both"/>
      </w:pPr>
      <w:r>
        <w:rPr>
          <w:rFonts w:ascii="Calibri" w:hAnsi="Calibri"/>
          <w:color w:val="1E293B"/>
          <w:sz w:val="22"/>
        </w:rPr>
        <w:t>Figure 3.3 details the core TypeScript interfaces and domain classes: UserProfile, PortfolioState, AssetHolding (tracking symbol, quantity, currentPrice, targetWeight, actualWeight, drift), TradeOrder (symbol, type, deltaQty, executionPrice, timestamp), TransactionRecord (hash, type, amount, cotRationale), and AIInvestigationContext.</w:t>
      </w:r>
    </w:p>
    <w:p>
      <w:pPr>
        <w:keepNext/>
        <w:spacing w:before="180" w:after="60"/>
      </w:pPr>
      <w:r>
        <w:rPr>
          <w:rFonts w:ascii="Calibri" w:hAnsi="Calibri"/>
          <w:b/>
          <w:color w:val="1E293B"/>
          <w:sz w:val="23"/>
        </w:rPr>
        <w:t>3.3.4  System Use Case Diagram</w:t>
      </w:r>
    </w:p>
    <w:p>
      <w:pPr>
        <w:keepNext/>
        <w:spacing w:before="160" w:after="60"/>
        <w:jc w:val="center"/>
      </w:pPr>
      <w:r>
        <w:drawing>
          <wp:inline xmlns:a="http://schemas.openxmlformats.org/drawingml/2006/main" xmlns:pic="http://schemas.openxmlformats.org/drawingml/2006/picture">
            <wp:extent cx="4846320" cy="3860628"/>
            <wp:docPr id="5" name="Picture 5"/>
            <wp:cNvGraphicFramePr>
              <a:graphicFrameLocks noChangeAspect="1"/>
            </wp:cNvGraphicFramePr>
            <a:graphic>
              <a:graphicData uri="http://schemas.openxmlformats.org/drawingml/2006/picture">
                <pic:pic>
                  <pic:nvPicPr>
                    <pic:cNvPr id="0" name="fig4_use_case.png"/>
                    <pic:cNvPicPr/>
                  </pic:nvPicPr>
                  <pic:blipFill>
                    <a:blip r:embed="rId19"/>
                    <a:stretch>
                      <a:fillRect/>
                    </a:stretch>
                  </pic:blipFill>
                  <pic:spPr>
                    <a:xfrm>
                      <a:off x="0" y="0"/>
                      <a:ext cx="4846320" cy="3860628"/>
                    </a:xfrm>
                    <a:prstGeom prst="rect"/>
                  </pic:spPr>
                </pic:pic>
              </a:graphicData>
            </a:graphic>
          </wp:inline>
        </w:drawing>
      </w:r>
    </w:p>
    <w:p>
      <w:pPr>
        <w:keepNext w:val="0"/>
        <w:spacing w:before="40" w:after="160"/>
        <w:jc w:val="center"/>
      </w:pPr>
      <w:r>
        <w:rPr>
          <w:rFonts w:ascii="Calibri" w:hAnsi="Calibri"/>
          <w:b/>
          <w:color w:val="475569"/>
          <w:sz w:val="19"/>
        </w:rPr>
        <w:t>Figure 3.4: WealthOS Comprehensive System Use Case Diagram</w:t>
      </w:r>
    </w:p>
    <w:p>
      <w:pPr>
        <w:spacing w:before="0" w:after="160" w:line="276" w:lineRule="auto"/>
        <w:jc w:val="both"/>
      </w:pPr>
      <w:r>
        <w:rPr>
          <w:rFonts w:ascii="Calibri" w:hAnsi="Calibri"/>
          <w:color w:val="1E293B"/>
          <w:sz w:val="22"/>
        </w:rPr>
        <w:t>Figure 3.4 diagrams the primary actor interactions: the Retail Investor monitors portfolio valuation, configures target asset weights, triggers manual trades, queries the AI Copilot, generates UPI liquidity, and downloads transaction ledgers; the Autonomous Engine continuously monitors drift and executes rebalance orders; and the Edge LLM provides automated trade rationale explanations.</w:t>
      </w:r>
    </w:p>
    <w:p>
      <w:pPr>
        <w:keepNext/>
        <w:spacing w:before="180" w:after="60"/>
      </w:pPr>
      <w:r>
        <w:rPr>
          <w:rFonts w:ascii="Calibri" w:hAnsi="Calibri"/>
          <w:b/>
          <w:color w:val="1E293B"/>
          <w:sz w:val="23"/>
        </w:rPr>
        <w:t>3.3.5  Autonomous Rebalancing Sequence Diagram</w:t>
      </w:r>
    </w:p>
    <w:p>
      <w:pPr>
        <w:keepNext/>
        <w:spacing w:before="160" w:after="60"/>
        <w:jc w:val="center"/>
      </w:pPr>
      <w:r>
        <w:drawing>
          <wp:inline xmlns:a="http://schemas.openxmlformats.org/drawingml/2006/main" xmlns:pic="http://schemas.openxmlformats.org/drawingml/2006/picture">
            <wp:extent cx="4846320" cy="4435615"/>
            <wp:docPr id="6" name="Picture 6"/>
            <wp:cNvGraphicFramePr>
              <a:graphicFrameLocks noChangeAspect="1"/>
            </wp:cNvGraphicFramePr>
            <a:graphic>
              <a:graphicData uri="http://schemas.openxmlformats.org/drawingml/2006/picture">
                <pic:pic>
                  <pic:nvPicPr>
                    <pic:cNvPr id="0" name="fig5_sequence.png"/>
                    <pic:cNvPicPr/>
                  </pic:nvPicPr>
                  <pic:blipFill>
                    <a:blip r:embed="rId20"/>
                    <a:stretch>
                      <a:fillRect/>
                    </a:stretch>
                  </pic:blipFill>
                  <pic:spPr>
                    <a:xfrm>
                      <a:off x="0" y="0"/>
                      <a:ext cx="4846320" cy="4435615"/>
                    </a:xfrm>
                    <a:prstGeom prst="rect"/>
                  </pic:spPr>
                </pic:pic>
              </a:graphicData>
            </a:graphic>
          </wp:inline>
        </w:drawing>
      </w:r>
    </w:p>
    <w:p>
      <w:pPr>
        <w:keepNext w:val="0"/>
        <w:spacing w:before="40" w:after="160"/>
        <w:jc w:val="center"/>
      </w:pPr>
      <w:r>
        <w:rPr>
          <w:rFonts w:ascii="Calibri" w:hAnsi="Calibri"/>
          <w:b/>
          <w:color w:val="475569"/>
          <w:sz w:val="19"/>
        </w:rPr>
        <w:t>Figure 3.5: Autonomous Rebalancing &amp; LLM Inference Sequence Diagram</w:t>
      </w:r>
    </w:p>
    <w:p>
      <w:pPr>
        <w:spacing w:before="0" w:after="160" w:line="276" w:lineRule="auto"/>
        <w:jc w:val="both"/>
      </w:pPr>
      <w:r>
        <w:rPr>
          <w:rFonts w:ascii="Calibri" w:hAnsi="Calibri"/>
          <w:color w:val="1E293B"/>
          <w:sz w:val="22"/>
        </w:rPr>
        <w:t>Figure 3.5 depicts the chronological message sequence: the 25-second timer fires in the background loop -&gt; MarketDataService polls price quotes -&gt; PortfolioContext calculates drift -&gt; DriftEngine confirms threshold breach (delta_w &gt;= 5%) -&gt; TradeFormulator generates sell/buy orders -&gt; AIAgent synthesizes chain-of-thought rationale -&gt; Order is committed to the Ledger -&gt; State is re-encrypted into the Local Vault.</w:t>
      </w:r>
    </w:p>
    <w:p>
      <w:pPr>
        <w:keepNext/>
        <w:spacing w:before="180" w:after="60"/>
      </w:pPr>
      <w:r>
        <w:rPr>
          <w:rFonts w:ascii="Calibri" w:hAnsi="Calibri"/>
          <w:b/>
          <w:color w:val="1E293B"/>
          <w:sz w:val="23"/>
        </w:rPr>
        <w:t>3.3.6  Continuous Drift Monitoring Activity Diagram</w:t>
      </w:r>
    </w:p>
    <w:p>
      <w:pPr>
        <w:keepNext/>
        <w:spacing w:before="160" w:after="60"/>
        <w:jc w:val="center"/>
      </w:pPr>
      <w:r>
        <w:drawing>
          <wp:inline xmlns:a="http://schemas.openxmlformats.org/drawingml/2006/main" xmlns:pic="http://schemas.openxmlformats.org/drawingml/2006/picture">
            <wp:extent cx="4846320" cy="4435615"/>
            <wp:docPr id="7" name="Picture 7"/>
            <wp:cNvGraphicFramePr>
              <a:graphicFrameLocks noChangeAspect="1"/>
            </wp:cNvGraphicFramePr>
            <a:graphic>
              <a:graphicData uri="http://schemas.openxmlformats.org/drawingml/2006/picture">
                <pic:pic>
                  <pic:nvPicPr>
                    <pic:cNvPr id="0" name="fig6_activity.png"/>
                    <pic:cNvPicPr/>
                  </pic:nvPicPr>
                  <pic:blipFill>
                    <a:blip r:embed="rId21"/>
                    <a:stretch>
                      <a:fillRect/>
                    </a:stretch>
                  </pic:blipFill>
                  <pic:spPr>
                    <a:xfrm>
                      <a:off x="0" y="0"/>
                      <a:ext cx="4846320" cy="4435615"/>
                    </a:xfrm>
                    <a:prstGeom prst="rect"/>
                  </pic:spPr>
                </pic:pic>
              </a:graphicData>
            </a:graphic>
          </wp:inline>
        </w:drawing>
      </w:r>
    </w:p>
    <w:p>
      <w:pPr>
        <w:keepNext w:val="0"/>
        <w:spacing w:before="40" w:after="160"/>
        <w:jc w:val="center"/>
      </w:pPr>
      <w:r>
        <w:rPr>
          <w:rFonts w:ascii="Calibri" w:hAnsi="Calibri"/>
          <w:b/>
          <w:color w:val="475569"/>
          <w:sz w:val="19"/>
        </w:rPr>
        <w:t>Figure 3.6: Continuous Drift Monitoring Activity Diagram</w:t>
      </w:r>
    </w:p>
    <w:p>
      <w:pPr>
        <w:spacing w:before="0" w:after="160" w:line="276" w:lineRule="auto"/>
        <w:jc w:val="both"/>
      </w:pPr>
      <w:r>
        <w:rPr>
          <w:rFonts w:ascii="Calibri" w:hAnsi="Calibri"/>
          <w:color w:val="1E293B"/>
          <w:sz w:val="22"/>
        </w:rPr>
        <w:t>Figure 3.6 illustrates the operational activity flow, tracking the branch conditions between normal monitoring, threshold breach detection, autonomous trade routing, user authorization check (manual vs. autonomous mode), and state persistence.</w:t>
      </w:r>
    </w:p>
    <w:p>
      <w:pPr>
        <w:keepNext/>
        <w:spacing w:before="180" w:after="60"/>
      </w:pPr>
      <w:r>
        <w:rPr>
          <w:rFonts w:ascii="Calibri" w:hAnsi="Calibri"/>
          <w:b/>
          <w:color w:val="1E293B"/>
          <w:sz w:val="23"/>
        </w:rPr>
        <w:t>3.3.7  Algorithmic Execution Flowchart</w:t>
      </w:r>
    </w:p>
    <w:p>
      <w:pPr>
        <w:keepNext/>
        <w:spacing w:before="160" w:after="60"/>
        <w:jc w:val="center"/>
      </w:pPr>
      <w:r>
        <w:drawing>
          <wp:inline xmlns:a="http://schemas.openxmlformats.org/drawingml/2006/main" xmlns:pic="http://schemas.openxmlformats.org/drawingml/2006/picture">
            <wp:extent cx="4846320" cy="5123493"/>
            <wp:docPr id="8" name="Picture 8"/>
            <wp:cNvGraphicFramePr>
              <a:graphicFrameLocks noChangeAspect="1"/>
            </wp:cNvGraphicFramePr>
            <a:graphic>
              <a:graphicData uri="http://schemas.openxmlformats.org/drawingml/2006/picture">
                <pic:pic>
                  <pic:nvPicPr>
                    <pic:cNvPr id="0" name="fig7_flowchart.png"/>
                    <pic:cNvPicPr/>
                  </pic:nvPicPr>
                  <pic:blipFill>
                    <a:blip r:embed="rId22"/>
                    <a:stretch>
                      <a:fillRect/>
                    </a:stretch>
                  </pic:blipFill>
                  <pic:spPr>
                    <a:xfrm>
                      <a:off x="0" y="0"/>
                      <a:ext cx="4846320" cy="5123493"/>
                    </a:xfrm>
                    <a:prstGeom prst="rect"/>
                  </pic:spPr>
                </pic:pic>
              </a:graphicData>
            </a:graphic>
          </wp:inline>
        </w:drawing>
      </w:r>
    </w:p>
    <w:p>
      <w:pPr>
        <w:keepNext w:val="0"/>
        <w:spacing w:before="40" w:after="160"/>
        <w:jc w:val="center"/>
      </w:pPr>
      <w:r>
        <w:rPr>
          <w:rFonts w:ascii="Calibri" w:hAnsi="Calibri"/>
          <w:b/>
          <w:color w:val="475569"/>
          <w:sz w:val="19"/>
        </w:rPr>
        <w:t>Figure 3.7: Complete Algorithmic Execution Flowchart</w:t>
      </w:r>
    </w:p>
    <w:p>
      <w:pPr>
        <w:spacing w:before="0" w:after="160" w:line="276" w:lineRule="auto"/>
        <w:jc w:val="both"/>
      </w:pPr>
      <w:r>
        <w:rPr>
          <w:rFonts w:ascii="Calibri" w:hAnsi="Calibri"/>
          <w:color w:val="1E293B"/>
          <w:sz w:val="22"/>
        </w:rPr>
        <w:t>Figure 3.7 diagrams the complete mathematical flowchart of WealthOS, from initialization, passphrase verification, multi-feed price polling, deadband threshold evaluation, order optimization, slippage modeling, and ledger cryptographic hashing.</w:t>
      </w:r>
    </w:p>
    <w:p>
      <w:pPr>
        <w:keepNext/>
        <w:spacing w:before="240" w:after="80"/>
      </w:pPr>
      <w:r>
        <w:rPr>
          <w:rFonts w:ascii="Calibri" w:hAnsi="Calibri"/>
          <w:b/>
          <w:color w:val="2E74B5"/>
          <w:sz w:val="26"/>
        </w:rPr>
        <w:t>3.4  Analytical &amp; Empirical Models</w:t>
      </w:r>
    </w:p>
    <w:p>
      <w:pPr>
        <w:spacing w:before="0" w:after="120" w:line="276" w:lineRule="auto"/>
        <w:jc w:val="both"/>
      </w:pPr>
      <w:r>
        <w:rPr>
          <w:rFonts w:ascii="Calibri" w:hAnsi="Calibri"/>
          <w:color w:val="1E293B"/>
          <w:sz w:val="22"/>
        </w:rPr>
        <w:t>To rigorously validate the mathematical stability and quantitative mechanics of WealthOS, five analytical simulation models were constructed and evaluated.</w:t>
      </w:r>
    </w:p>
    <w:p>
      <w:pPr>
        <w:keepNext/>
        <w:spacing w:before="180" w:after="60"/>
      </w:pPr>
      <w:r>
        <w:rPr>
          <w:rFonts w:ascii="Calibri" w:hAnsi="Calibri"/>
          <w:b/>
          <w:color w:val="1E293B"/>
          <w:sz w:val="23"/>
        </w:rPr>
        <w:t>3.4.1  Multi-Asset Target vs. Actual Portfolio Allocation Treemap</w:t>
      </w:r>
    </w:p>
    <w:p>
      <w:pPr>
        <w:keepNext/>
        <w:spacing w:before="160" w:after="60"/>
        <w:jc w:val="center"/>
      </w:pPr>
      <w:r>
        <w:drawing>
          <wp:inline xmlns:a="http://schemas.openxmlformats.org/drawingml/2006/main" xmlns:pic="http://schemas.openxmlformats.org/drawingml/2006/picture">
            <wp:extent cx="4846320" cy="3250580"/>
            <wp:docPr id="9" name="Picture 9"/>
            <wp:cNvGraphicFramePr>
              <a:graphicFrameLocks noChangeAspect="1"/>
            </wp:cNvGraphicFramePr>
            <a:graphic>
              <a:graphicData uri="http://schemas.openxmlformats.org/drawingml/2006/picture">
                <pic:pic>
                  <pic:nvPicPr>
                    <pic:cNvPr id="0" name="fig_portfolio_treemap.png"/>
                    <pic:cNvPicPr/>
                  </pic:nvPicPr>
                  <pic:blipFill>
                    <a:blip r:embed="rId23"/>
                    <a:stretch>
                      <a:fillRect/>
                    </a:stretch>
                  </pic:blipFill>
                  <pic:spPr>
                    <a:xfrm>
                      <a:off x="0" y="0"/>
                      <a:ext cx="4846320" cy="3250580"/>
                    </a:xfrm>
                    <a:prstGeom prst="rect"/>
                  </pic:spPr>
                </pic:pic>
              </a:graphicData>
            </a:graphic>
          </wp:inline>
        </w:drawing>
      </w:r>
    </w:p>
    <w:p>
      <w:pPr>
        <w:keepNext w:val="0"/>
        <w:spacing w:before="40" w:after="160"/>
        <w:jc w:val="center"/>
      </w:pPr>
      <w:r>
        <w:rPr>
          <w:rFonts w:ascii="Calibri" w:hAnsi="Calibri"/>
          <w:b/>
          <w:color w:val="475569"/>
          <w:sz w:val="19"/>
        </w:rPr>
        <w:t>Figure 3.8: Multi-Asset Target vs. Actual Portfolio Allocation Breakdown</w:t>
      </w:r>
    </w:p>
    <w:p>
      <w:pPr>
        <w:spacing w:before="0" w:after="160" w:line="276" w:lineRule="auto"/>
        <w:jc w:val="both"/>
      </w:pPr>
      <w:r>
        <w:rPr>
          <w:rFonts w:ascii="Calibri" w:hAnsi="Calibri"/>
          <w:color w:val="1E293B"/>
          <w:sz w:val="22"/>
        </w:rPr>
        <w:t>Figure 3.8 visualizes the asset class distribution within a representative multi-asset portfolio (40% Equities, 30% Mutual Funds, 20% Gold, 10% Crypto), illustrating how high-volatility crypto expansions compress the relative weight of fixed-income and equity holdings.</w:t>
      </w:r>
    </w:p>
    <w:p>
      <w:pPr>
        <w:keepNext/>
        <w:spacing w:before="180" w:after="60"/>
      </w:pPr>
      <w:r>
        <w:rPr>
          <w:rFonts w:ascii="Calibri" w:hAnsi="Calibri"/>
          <w:b/>
          <w:color w:val="1E293B"/>
          <w:sz w:val="23"/>
        </w:rPr>
        <w:t>3.4.2  Empirical Portfolio Drift &amp; Volatility Timeline</w:t>
      </w:r>
    </w:p>
    <w:p>
      <w:pPr>
        <w:keepNext/>
        <w:spacing w:before="160" w:after="60"/>
        <w:jc w:val="center"/>
      </w:pPr>
      <w:r>
        <w:drawing>
          <wp:inline xmlns:a="http://schemas.openxmlformats.org/drawingml/2006/main" xmlns:pic="http://schemas.openxmlformats.org/drawingml/2006/picture">
            <wp:extent cx="4846320" cy="4556411"/>
            <wp:docPr id="10" name="Picture 10"/>
            <wp:cNvGraphicFramePr>
              <a:graphicFrameLocks noChangeAspect="1"/>
            </wp:cNvGraphicFramePr>
            <a:graphic>
              <a:graphicData uri="http://schemas.openxmlformats.org/drawingml/2006/picture">
                <pic:pic>
                  <pic:nvPicPr>
                    <pic:cNvPr id="0" name="fig_empirical_drift_timeline.png"/>
                    <pic:cNvPicPr/>
                  </pic:nvPicPr>
                  <pic:blipFill>
                    <a:blip r:embed="rId24"/>
                    <a:stretch>
                      <a:fillRect/>
                    </a:stretch>
                  </pic:blipFill>
                  <pic:spPr>
                    <a:xfrm>
                      <a:off x="0" y="0"/>
                      <a:ext cx="4846320" cy="4556411"/>
                    </a:xfrm>
                    <a:prstGeom prst="rect"/>
                  </pic:spPr>
                </pic:pic>
              </a:graphicData>
            </a:graphic>
          </wp:inline>
        </w:drawing>
      </w:r>
    </w:p>
    <w:p>
      <w:pPr>
        <w:keepNext w:val="0"/>
        <w:spacing w:before="40" w:after="160"/>
        <w:jc w:val="center"/>
      </w:pPr>
      <w:r>
        <w:rPr>
          <w:rFonts w:ascii="Calibri" w:hAnsi="Calibri"/>
          <w:b/>
          <w:color w:val="475569"/>
          <w:sz w:val="19"/>
        </w:rPr>
        <w:t>Figure 3.9: Empirical Portfolio Drift &amp; Volatility Timeline</w:t>
      </w:r>
    </w:p>
    <w:p>
      <w:pPr>
        <w:spacing w:before="0" w:after="160" w:line="276" w:lineRule="auto"/>
        <w:jc w:val="both"/>
      </w:pPr>
      <w:r>
        <w:rPr>
          <w:rFonts w:ascii="Calibri" w:hAnsi="Calibri"/>
          <w:color w:val="1E293B"/>
          <w:sz w:val="22"/>
        </w:rPr>
        <w:t>Figure 3.9 tracks simulated portfolio drift over a 120-day high-volatility market cycle. The unmanaged portfolio (red) experiences severe allocation divergence exceeding 28%, whereas WealthOS's autonomous rebalancing engine (green) continually pulls allocations back within the +/- 5% tolerance band.</w:t>
      </w:r>
    </w:p>
    <w:p>
      <w:pPr>
        <w:keepNext/>
        <w:spacing w:before="180" w:after="60"/>
      </w:pPr>
      <w:r>
        <w:rPr>
          <w:rFonts w:ascii="Calibri" w:hAnsi="Calibri"/>
          <w:b/>
          <w:color w:val="1E293B"/>
          <w:sz w:val="23"/>
        </w:rPr>
        <w:t>3.4.3  Drift Histogram &amp; Threshold Trigger Distribution</w:t>
      </w:r>
    </w:p>
    <w:p>
      <w:pPr>
        <w:keepNext/>
        <w:spacing w:before="160" w:after="60"/>
        <w:jc w:val="center"/>
      </w:pPr>
      <w:r>
        <w:drawing>
          <wp:inline xmlns:a="http://schemas.openxmlformats.org/drawingml/2006/main" xmlns:pic="http://schemas.openxmlformats.org/drawingml/2006/picture">
            <wp:extent cx="4846320" cy="3251816"/>
            <wp:docPr id="11" name="Picture 11"/>
            <wp:cNvGraphicFramePr>
              <a:graphicFrameLocks noChangeAspect="1"/>
            </wp:cNvGraphicFramePr>
            <a:graphic>
              <a:graphicData uri="http://schemas.openxmlformats.org/drawingml/2006/picture">
                <pic:pic>
                  <pic:nvPicPr>
                    <pic:cNvPr id="0" name="fig_drift_histogram.png"/>
                    <pic:cNvPicPr/>
                  </pic:nvPicPr>
                  <pic:blipFill>
                    <a:blip r:embed="rId25"/>
                    <a:stretch>
                      <a:fillRect/>
                    </a:stretch>
                  </pic:blipFill>
                  <pic:spPr>
                    <a:xfrm>
                      <a:off x="0" y="0"/>
                      <a:ext cx="4846320" cy="3251816"/>
                    </a:xfrm>
                    <a:prstGeom prst="rect"/>
                  </pic:spPr>
                </pic:pic>
              </a:graphicData>
            </a:graphic>
          </wp:inline>
        </w:drawing>
      </w:r>
    </w:p>
    <w:p>
      <w:pPr>
        <w:keepNext w:val="0"/>
        <w:spacing w:before="40" w:after="160"/>
        <w:jc w:val="center"/>
      </w:pPr>
      <w:r>
        <w:rPr>
          <w:rFonts w:ascii="Calibri" w:hAnsi="Calibri"/>
          <w:b/>
          <w:color w:val="475569"/>
          <w:sz w:val="19"/>
        </w:rPr>
        <w:t>Figure 3.10: Rebalancing Drift Histogram &amp; Threshold Trigger Distribution</w:t>
      </w:r>
    </w:p>
    <w:p>
      <w:pPr>
        <w:spacing w:before="0" w:after="160" w:line="276" w:lineRule="auto"/>
        <w:jc w:val="both"/>
      </w:pPr>
      <w:r>
        <w:rPr>
          <w:rFonts w:ascii="Calibri" w:hAnsi="Calibri"/>
          <w:color w:val="1E293B"/>
          <w:sz w:val="22"/>
        </w:rPr>
        <w:t>Figure 3.10 plots the statistical distribution of observed allocation drift across 10,000 Monte Carlo market ticks. Over 86% of ticks remain within the normal deadband zone, proving that the 5% threshold effectively prevents excessive trading turnover.</w:t>
      </w:r>
    </w:p>
    <w:p>
      <w:pPr>
        <w:keepNext/>
        <w:spacing w:before="180" w:after="60"/>
      </w:pPr>
      <w:r>
        <w:rPr>
          <w:rFonts w:ascii="Calibri" w:hAnsi="Calibri"/>
          <w:b/>
          <w:color w:val="1E293B"/>
          <w:sz w:val="23"/>
        </w:rPr>
        <w:t>3.4.4  Rebalancing Sensitivity &amp; Slippage Curve</w:t>
      </w:r>
    </w:p>
    <w:p>
      <w:pPr>
        <w:keepNext/>
        <w:spacing w:before="160" w:after="60"/>
        <w:jc w:val="center"/>
      </w:pPr>
      <w:r>
        <w:drawing>
          <wp:inline xmlns:a="http://schemas.openxmlformats.org/drawingml/2006/main" xmlns:pic="http://schemas.openxmlformats.org/drawingml/2006/picture">
            <wp:extent cx="4846320" cy="3396773"/>
            <wp:docPr id="12" name="Picture 12"/>
            <wp:cNvGraphicFramePr>
              <a:graphicFrameLocks noChangeAspect="1"/>
            </wp:cNvGraphicFramePr>
            <a:graphic>
              <a:graphicData uri="http://schemas.openxmlformats.org/drawingml/2006/picture">
                <pic:pic>
                  <pic:nvPicPr>
                    <pic:cNvPr id="0" name="fig_sensitivity_curve.png"/>
                    <pic:cNvPicPr/>
                  </pic:nvPicPr>
                  <pic:blipFill>
                    <a:blip r:embed="rId26"/>
                    <a:stretch>
                      <a:fillRect/>
                    </a:stretch>
                  </pic:blipFill>
                  <pic:spPr>
                    <a:xfrm>
                      <a:off x="0" y="0"/>
                      <a:ext cx="4846320" cy="3396773"/>
                    </a:xfrm>
                    <a:prstGeom prst="rect"/>
                  </pic:spPr>
                </pic:pic>
              </a:graphicData>
            </a:graphic>
          </wp:inline>
        </w:drawing>
      </w:r>
    </w:p>
    <w:p>
      <w:pPr>
        <w:keepNext w:val="0"/>
        <w:spacing w:before="40" w:after="160"/>
        <w:jc w:val="center"/>
      </w:pPr>
      <w:r>
        <w:rPr>
          <w:rFonts w:ascii="Calibri" w:hAnsi="Calibri"/>
          <w:b/>
          <w:color w:val="475569"/>
          <w:sz w:val="19"/>
        </w:rPr>
        <w:t>Figure 3.11: Rebalancing Sensitivity &amp; Slippage Curve</w:t>
      </w:r>
    </w:p>
    <w:p>
      <w:pPr>
        <w:spacing w:before="0" w:after="160" w:line="276" w:lineRule="auto"/>
        <w:jc w:val="both"/>
      </w:pPr>
      <w:r>
        <w:rPr>
          <w:rFonts w:ascii="Calibri" w:hAnsi="Calibri"/>
          <w:color w:val="1E293B"/>
          <w:sz w:val="22"/>
        </w:rPr>
        <w:t>Figure 3.11 evaluates the relationship between rebalancing frequency, transaction costs, and portfolio tracking error. A 5% tolerance threshold achieves the global minimum on the total cost curve, balancing turnover drag against risk drift.</w:t>
      </w:r>
    </w:p>
    <w:p>
      <w:pPr>
        <w:keepNext/>
        <w:spacing w:before="180" w:after="60"/>
      </w:pPr>
      <w:r>
        <w:rPr>
          <w:rFonts w:ascii="Calibri" w:hAnsi="Calibri"/>
          <w:b/>
          <w:color w:val="1E293B"/>
          <w:sz w:val="23"/>
        </w:rPr>
        <w:t>3.4.5  Client-Side Encryption Hierarchy Tree</w:t>
      </w:r>
    </w:p>
    <w:p>
      <w:pPr>
        <w:keepNext/>
        <w:spacing w:before="160" w:after="60"/>
        <w:jc w:val="center"/>
      </w:pPr>
      <w:r>
        <w:drawing>
          <wp:inline xmlns:a="http://schemas.openxmlformats.org/drawingml/2006/main" xmlns:pic="http://schemas.openxmlformats.org/drawingml/2006/picture">
            <wp:extent cx="4846320" cy="3586177"/>
            <wp:docPr id="13" name="Picture 13"/>
            <wp:cNvGraphicFramePr>
              <a:graphicFrameLocks noChangeAspect="1"/>
            </wp:cNvGraphicFramePr>
            <a:graphic>
              <a:graphicData uri="http://schemas.openxmlformats.org/drawingml/2006/picture">
                <pic:pic>
                  <pic:nvPicPr>
                    <pic:cNvPr id="0" name="fig_vault_hierarchy_tree.png"/>
                    <pic:cNvPicPr/>
                  </pic:nvPicPr>
                  <pic:blipFill>
                    <a:blip r:embed="rId27"/>
                    <a:stretch>
                      <a:fillRect/>
                    </a:stretch>
                  </pic:blipFill>
                  <pic:spPr>
                    <a:xfrm>
                      <a:off x="0" y="0"/>
                      <a:ext cx="4846320" cy="3586177"/>
                    </a:xfrm>
                    <a:prstGeom prst="rect"/>
                  </pic:spPr>
                </pic:pic>
              </a:graphicData>
            </a:graphic>
          </wp:inline>
        </w:drawing>
      </w:r>
    </w:p>
    <w:p>
      <w:pPr>
        <w:keepNext w:val="0"/>
        <w:spacing w:before="40" w:after="160"/>
        <w:jc w:val="center"/>
      </w:pPr>
      <w:r>
        <w:rPr>
          <w:rFonts w:ascii="Calibri" w:hAnsi="Calibri"/>
          <w:b/>
          <w:color w:val="475569"/>
          <w:sz w:val="19"/>
        </w:rPr>
        <w:t>Figure 3.12: Client-Side Vault &amp; Encryption Hierarchy Tree</w:t>
      </w:r>
    </w:p>
    <w:p>
      <w:pPr>
        <w:spacing w:before="0" w:after="240" w:line="276" w:lineRule="auto"/>
        <w:jc w:val="both"/>
      </w:pPr>
      <w:r>
        <w:rPr>
          <w:rFonts w:ascii="Calibri" w:hAnsi="Calibri"/>
          <w:color w:val="1E293B"/>
          <w:sz w:val="22"/>
        </w:rPr>
        <w:t>Figure 3.12 diagrams the cryptographic key derivation hierarchy: Master Password -&gt; PBKDF2 (100k rounds, salt) -&gt; Derived AES-GCM Key -&gt; Encrypted Vault Segments (Holdings, Target Weights, Ledger Hashes, API Tokens).</w:t>
      </w:r>
    </w:p>
    <w:p>
      <w:r>
        <w:br w:type="page"/>
      </w:r>
    </w:p>
    <w:p>
      <w:pPr>
        <w:keepNext/>
        <w:spacing w:before="320" w:after="120"/>
      </w:pPr>
      <w:r>
        <w:rPr>
          <w:rFonts w:ascii="Calibri" w:hAnsi="Calibri"/>
          <w:b/>
          <w:color w:val="1F4E79"/>
          <w:sz w:val="31"/>
        </w:rPr>
        <w:t>CHAPTER 4  IMPLEMENTATION &amp; TESTING</w:t>
      </w:r>
    </w:p>
    <w:p>
      <w:pPr>
        <w:spacing w:before="0" w:after="160" w:line="276" w:lineRule="auto"/>
        <w:jc w:val="both"/>
      </w:pPr>
      <w:r>
        <w:rPr>
          <w:rFonts w:ascii="Calibri" w:hAnsi="Calibri"/>
          <w:color w:val="1E293B"/>
          <w:sz w:val="22"/>
        </w:rPr>
        <w:t>WealthOS is implemented as a full-featured, edge-first progressive web application. This chapter presents the technical mechanics of each architectural layer, demonstrates the production TypeScript code implementation for mathematical drift and agentic AI reasoning, specifies the client-side REST service endpoints, and documents the exhaustive verification and testing suite.</w:t>
      </w:r>
    </w:p>
    <w:p>
      <w:pPr>
        <w:keepNext/>
        <w:spacing w:before="240" w:after="80"/>
      </w:pPr>
      <w:r>
        <w:rPr>
          <w:rFonts w:ascii="Calibri" w:hAnsi="Calibri"/>
          <w:b/>
          <w:color w:val="2E74B5"/>
          <w:sz w:val="26"/>
        </w:rPr>
        <w:t>4.1  Full-Stack Technology Stack &amp; Implementation</w:t>
      </w:r>
    </w:p>
    <w:p>
      <w:pPr>
        <w:keepNext/>
        <w:spacing w:before="180" w:after="60"/>
      </w:pPr>
      <w:r>
        <w:rPr>
          <w:rFonts w:ascii="Calibri" w:hAnsi="Calibri"/>
          <w:b/>
          <w:color w:val="1E293B"/>
          <w:sz w:val="23"/>
        </w:rPr>
        <w:t>4.1.1  Frontend Engine (React 19, TypeScript, Vite)</w:t>
      </w:r>
    </w:p>
    <w:p>
      <w:pPr>
        <w:spacing w:before="0" w:after="120" w:line="276" w:lineRule="auto"/>
        <w:jc w:val="both"/>
      </w:pPr>
      <w:r>
        <w:rPr>
          <w:rFonts w:ascii="Calibri" w:hAnsi="Calibri"/>
          <w:color w:val="1E293B"/>
          <w:sz w:val="22"/>
        </w:rPr>
        <w:t>The user interface is engineered in React 19 using TypeScript 5.5 for end-to-end type safety. React 19's concurrent rendering primitives and useTransition hooks are leveraged to decouple high-frequency price feed updates from user input interactions, ensuring responsive 60 FPS UI performance. Vite 5.4 serves as the bundler, providing sub-millisecond Hot Module Replacement (HMR) and highly optimized production builds with tree-shaking.</w:t>
      </w:r>
    </w:p>
    <w:p>
      <w:pPr>
        <w:keepNext/>
        <w:spacing w:before="180" w:after="60"/>
      </w:pPr>
      <w:r>
        <w:rPr>
          <w:rFonts w:ascii="Calibri" w:hAnsi="Calibri"/>
          <w:b/>
          <w:color w:val="1E293B"/>
          <w:sz w:val="23"/>
        </w:rPr>
        <w:t>4.1.2  Client-Side State Management &amp; Local Storage Persistence</w:t>
      </w:r>
    </w:p>
    <w:p>
      <w:pPr>
        <w:spacing w:before="0" w:after="120" w:line="276" w:lineRule="auto"/>
        <w:jc w:val="both"/>
      </w:pPr>
      <w:r>
        <w:rPr>
          <w:rFonts w:ascii="Calibri" w:hAnsi="Calibri"/>
          <w:color w:val="1E293B"/>
          <w:sz w:val="22"/>
        </w:rPr>
        <w:t>Global application state is managed using React Context API coupled with a custom usePortfolio custom hook. The state tree maintains live holding quantities, cash balances, historical price vectors, real-time drift calculations, and transaction records. To achieve zero-knowledge persistence, state updates are serialized into JSON, encrypted with AES-GCM-256, and written to browser localStorage under the key 'wealthos_encrypted_vault'.</w:t>
      </w:r>
    </w:p>
    <w:p>
      <w:pPr>
        <w:keepNext/>
        <w:spacing w:before="180" w:after="60"/>
      </w:pPr>
      <w:r>
        <w:rPr>
          <w:rFonts w:ascii="Calibri" w:hAnsi="Calibri"/>
          <w:b/>
          <w:color w:val="1E293B"/>
          <w:sz w:val="23"/>
        </w:rPr>
        <w:t>4.1.3  Multi-Asset REST &amp; Polling Engine</w:t>
      </w:r>
    </w:p>
    <w:p>
      <w:pPr>
        <w:spacing w:before="0" w:after="120" w:line="276" w:lineRule="auto"/>
        <w:jc w:val="both"/>
      </w:pPr>
      <w:r>
        <w:rPr>
          <w:rFonts w:ascii="Calibri" w:hAnsi="Calibri"/>
          <w:color w:val="1E293B"/>
          <w:sz w:val="22"/>
        </w:rPr>
        <w:t>The MarketDataService handles asynchronous price ingestion. It connects to CoinGecko's REST API (/api/v3/simple/price) for Bitcoin, Ethereum, and Solana spot quotes; to MFAPI.in (/mf/{scheme_code}) for Indian mutual fund NAVs; and to real-time equity feeds for NIFTY 50 and blue-chip equities. A background setInterval timer executes polling cycles every 25 seconds, incorporating jittered retry logic to prevent rate-limit throttling.</w:t>
      </w:r>
    </w:p>
    <w:p>
      <w:pPr>
        <w:keepNext/>
        <w:spacing w:before="180" w:after="60"/>
      </w:pPr>
      <w:r>
        <w:rPr>
          <w:rFonts w:ascii="Calibri" w:hAnsi="Calibri"/>
          <w:b/>
          <w:color w:val="1E293B"/>
          <w:sz w:val="23"/>
        </w:rPr>
        <w:t>4.1.4  Client-Side Web Crypto Encryption Engine</w:t>
      </w:r>
    </w:p>
    <w:p>
      <w:pPr>
        <w:spacing w:before="0" w:after="120" w:line="276" w:lineRule="auto"/>
        <w:jc w:val="both"/>
      </w:pPr>
      <w:r>
        <w:rPr>
          <w:rFonts w:ascii="Calibri" w:hAnsi="Calibri"/>
          <w:color w:val="1E293B"/>
          <w:sz w:val="22"/>
        </w:rPr>
        <w:t>The security subsystem utilizes the native window.crypto.subtle API. User passphrases undergo PBKDF2 key derivation with 100,000 SHA-256 iterations and a 16-byte random salt. All sensitive vault data is encrypted using AES-GCM with a unique 12-byte initialization vector (IV) per write operation. This guarantees that even if a malicious browser extension accesses localStorage, the raw financial assets remain cryptographically unreadable.</w:t>
      </w:r>
    </w:p>
    <w:p>
      <w:pPr>
        <w:keepNext/>
        <w:spacing w:before="180" w:after="60"/>
      </w:pPr>
      <w:r>
        <w:rPr>
          <w:rFonts w:ascii="Calibri" w:hAnsi="Calibri"/>
          <w:b/>
          <w:color w:val="1E293B"/>
          <w:sz w:val="23"/>
        </w:rPr>
        <w:t>4.1.5  Dual-LLM Local/Cloud Orchestration</w:t>
      </w:r>
    </w:p>
    <w:p>
      <w:pPr>
        <w:spacing w:before="0" w:after="120" w:line="276" w:lineRule="auto"/>
        <w:jc w:val="both"/>
      </w:pPr>
      <w:r>
        <w:rPr>
          <w:rFonts w:ascii="Calibri" w:hAnsi="Calibri"/>
          <w:color w:val="1E293B"/>
          <w:sz w:val="22"/>
        </w:rPr>
        <w:t>The AI Copilot connects to an Ollama daemon running locally on the user's workstation. By dispatching asynchronous POST requests to http://127.0.0.1:11434/api/chat with low temperature (0.2), WealthOS streams real-time Chain-of-Thought reasoning from Qwen 2.5 Coder 7B or Llama 3.2 3B. When configured for cloud mode, the system seamlessly redirects prompts to Google Gemini 1.5 Flash or Groq Llama 3.3 70B.</w:t>
      </w:r>
    </w:p>
    <w:p>
      <w:pPr>
        <w:keepNext/>
        <w:spacing w:before="180" w:after="60"/>
      </w:pPr>
      <w:r>
        <w:rPr>
          <w:rFonts w:ascii="Calibri" w:hAnsi="Calibri"/>
          <w:b/>
          <w:color w:val="1E293B"/>
          <w:sz w:val="23"/>
        </w:rPr>
        <w:t>4.1.6  Tailwind Glassmorphic UI &amp; Visual Analytics</w:t>
      </w:r>
    </w:p>
    <w:p>
      <w:pPr>
        <w:spacing w:before="0" w:after="160" w:line="276" w:lineRule="auto"/>
        <w:jc w:val="both"/>
      </w:pPr>
      <w:r>
        <w:rPr>
          <w:rFonts w:ascii="Calibri" w:hAnsi="Calibri"/>
          <w:color w:val="1E293B"/>
          <w:sz w:val="22"/>
        </w:rPr>
        <w:t>The visual design system employs a bespoke dark-mode aesthetic utilizing Tailwind CSS, backdrop-blur glassmorphism, and curated emerald/cyan financial accents. Interactive charts—including donut allocation breakdowns, target vs. actual weight comparison bars, and real-time drift gauges—are rendered using SVG-based Recharts components.</w:t>
      </w:r>
    </w:p>
    <w:p>
      <w:pPr>
        <w:keepNext/>
        <w:spacing w:before="240" w:after="80"/>
      </w:pPr>
      <w:r>
        <w:rPr>
          <w:rFonts w:ascii="Calibri" w:hAnsi="Calibri"/>
          <w:b/>
          <w:color w:val="2E74B5"/>
          <w:sz w:val="26"/>
        </w:rPr>
        <w:t>4.2  Core Algorithmic Code Implementation</w:t>
      </w:r>
    </w:p>
    <w:p>
      <w:pPr>
        <w:spacing w:before="0" w:after="120" w:line="276" w:lineRule="auto"/>
        <w:jc w:val="both"/>
      </w:pPr>
      <w:r>
        <w:rPr>
          <w:rFonts w:ascii="Calibri" w:hAnsi="Calibri"/>
          <w:color w:val="1E293B"/>
          <w:sz w:val="22"/>
        </w:rPr>
        <w:t>The following production code blocks demonstrate the core mathematical and agentic algorithms implemented in the WealthOS platform.</w:t>
      </w:r>
    </w:p>
    <w:p>
      <w:pPr>
        <w:keepNext/>
        <w:spacing w:before="180" w:after="60"/>
      </w:pPr>
      <w:r>
        <w:rPr>
          <w:rFonts w:ascii="Calibri" w:hAnsi="Calibri"/>
          <w:b/>
          <w:color w:val="1E293B"/>
          <w:sz w:val="23"/>
        </w:rPr>
        <w:t>4.2.1  Mathematical Drift Engine Core Logic</w:t>
      </w:r>
    </w:p>
    <w:p>
      <w:pPr>
        <w:keepNext/>
        <w:spacing w:before="160" w:after="60"/>
        <w:jc w:val="center"/>
      </w:pPr>
      <w:r>
        <w:drawing>
          <wp:inline xmlns:a="http://schemas.openxmlformats.org/drawingml/2006/main" xmlns:pic="http://schemas.openxmlformats.org/drawingml/2006/picture">
            <wp:extent cx="4846320" cy="1418334"/>
            <wp:docPr id="14" name="Picture 14"/>
            <wp:cNvGraphicFramePr>
              <a:graphicFrameLocks noChangeAspect="1"/>
            </wp:cNvGraphicFramePr>
            <a:graphic>
              <a:graphicData uri="http://schemas.openxmlformats.org/drawingml/2006/picture">
                <pic:pic>
                  <pic:nvPicPr>
                    <pic:cNvPr id="0" name="code_drift_math.png"/>
                    <pic:cNvPicPr/>
                  </pic:nvPicPr>
                  <pic:blipFill>
                    <a:blip r:embed="rId28"/>
                    <a:stretch>
                      <a:fillRect/>
                    </a:stretch>
                  </pic:blipFill>
                  <pic:spPr>
                    <a:xfrm>
                      <a:off x="0" y="0"/>
                      <a:ext cx="4846320" cy="1418334"/>
                    </a:xfrm>
                    <a:prstGeom prst="rect"/>
                  </pic:spPr>
                </pic:pic>
              </a:graphicData>
            </a:graphic>
          </wp:inline>
        </w:drawing>
      </w:r>
    </w:p>
    <w:p>
      <w:pPr>
        <w:keepNext w:val="0"/>
        <w:spacing w:before="40" w:after="160"/>
        <w:jc w:val="center"/>
      </w:pPr>
      <w:r>
        <w:rPr>
          <w:rFonts w:ascii="Calibri" w:hAnsi="Calibri"/>
          <w:b/>
          <w:color w:val="475569"/>
          <w:sz w:val="19"/>
        </w:rPr>
        <w:t>Code Snippet 4.1: Mathematical Drift Engine Core Logic (TypeScript)</w:t>
      </w:r>
    </w:p>
    <w:p>
      <w:pPr>
        <w:spacing w:before="0" w:after="160" w:line="276" w:lineRule="auto"/>
        <w:jc w:val="both"/>
      </w:pPr>
      <w:r>
        <w:rPr>
          <w:rFonts w:ascii="Calibri" w:hAnsi="Calibri"/>
          <w:color w:val="1E293B"/>
          <w:sz w:val="22"/>
        </w:rPr>
        <w:t>Code Snippet 4.1 shows the pure function calculatePortfolioDrift(). It iterates across all assets, computes total portfolio valuation, calculates individual asset weights w_i = v_i / V_total, derives percentage drift delta_w = w_i - w_target, and evaluates whether the absolute drift exceeds the configured tolerance threshold.</w:t>
      </w:r>
    </w:p>
    <w:p>
      <w:pPr>
        <w:keepNext/>
        <w:spacing w:before="180" w:after="60"/>
      </w:pPr>
      <w:r>
        <w:rPr>
          <w:rFonts w:ascii="Calibri" w:hAnsi="Calibri"/>
          <w:b/>
          <w:color w:val="1E293B"/>
          <w:sz w:val="23"/>
        </w:rPr>
        <w:t>4.2.2  Autonomous Execution Loop &amp; Threshold Checker</w:t>
      </w:r>
    </w:p>
    <w:p>
      <w:pPr>
        <w:keepNext/>
        <w:spacing w:before="160" w:after="60"/>
        <w:jc w:val="center"/>
      </w:pPr>
      <w:r>
        <w:drawing>
          <wp:inline xmlns:a="http://schemas.openxmlformats.org/drawingml/2006/main" xmlns:pic="http://schemas.openxmlformats.org/drawingml/2006/picture">
            <wp:extent cx="4846320" cy="2230689"/>
            <wp:docPr id="15" name="Picture 15"/>
            <wp:cNvGraphicFramePr>
              <a:graphicFrameLocks noChangeAspect="1"/>
            </wp:cNvGraphicFramePr>
            <a:graphic>
              <a:graphicData uri="http://schemas.openxmlformats.org/drawingml/2006/picture">
                <pic:pic>
                  <pic:nvPicPr>
                    <pic:cNvPr id="0" name="code_autorun_loop.png"/>
                    <pic:cNvPicPr/>
                  </pic:nvPicPr>
                  <pic:blipFill>
                    <a:blip r:embed="rId29"/>
                    <a:stretch>
                      <a:fillRect/>
                    </a:stretch>
                  </pic:blipFill>
                  <pic:spPr>
                    <a:xfrm>
                      <a:off x="0" y="0"/>
                      <a:ext cx="4846320" cy="2230689"/>
                    </a:xfrm>
                    <a:prstGeom prst="rect"/>
                  </pic:spPr>
                </pic:pic>
              </a:graphicData>
            </a:graphic>
          </wp:inline>
        </w:drawing>
      </w:r>
    </w:p>
    <w:p>
      <w:pPr>
        <w:keepNext w:val="0"/>
        <w:spacing w:before="40" w:after="160"/>
        <w:jc w:val="center"/>
      </w:pPr>
      <w:r>
        <w:rPr>
          <w:rFonts w:ascii="Calibri" w:hAnsi="Calibri"/>
          <w:b/>
          <w:color w:val="475569"/>
          <w:sz w:val="19"/>
        </w:rPr>
        <w:t>Code Snippet 4.2: Autonomous Execution Loop &amp; Heartbeat Timer</w:t>
      </w:r>
    </w:p>
    <w:p>
      <w:pPr>
        <w:spacing w:before="0" w:after="160" w:line="276" w:lineRule="auto"/>
        <w:jc w:val="both"/>
      </w:pPr>
      <w:r>
        <w:rPr>
          <w:rFonts w:ascii="Calibri" w:hAnsi="Calibri"/>
          <w:color w:val="1E293B"/>
          <w:sz w:val="22"/>
        </w:rPr>
        <w:t>Code Snippet 4.2 shows the background execution loop managed inside PortfolioContext.tsx. A 25-second interval timer triggers refreshMarketPrices(), recalculates drift, and if autoRebalanceEnabled is active and maxDrift &gt;= 0.05, automatically calls executeRebalance() to generate rebalancing trade tickets.</w:t>
      </w:r>
    </w:p>
    <w:p>
      <w:pPr>
        <w:keepNext/>
        <w:spacing w:before="180" w:after="60"/>
      </w:pPr>
      <w:r>
        <w:rPr>
          <w:rFonts w:ascii="Calibri" w:hAnsi="Calibri"/>
          <w:b/>
          <w:color w:val="1E293B"/>
          <w:sz w:val="23"/>
        </w:rPr>
        <w:t>4.2.3  Local LLM (Ollama / Qwen 2.5 Coder) Integration</w:t>
      </w:r>
    </w:p>
    <w:p>
      <w:pPr>
        <w:keepNext/>
        <w:spacing w:before="160" w:after="60"/>
        <w:jc w:val="center"/>
      </w:pPr>
      <w:r>
        <w:drawing>
          <wp:inline xmlns:a="http://schemas.openxmlformats.org/drawingml/2006/main" xmlns:pic="http://schemas.openxmlformats.org/drawingml/2006/picture">
            <wp:extent cx="4846320" cy="3008251"/>
            <wp:docPr id="16" name="Picture 16"/>
            <wp:cNvGraphicFramePr>
              <a:graphicFrameLocks noChangeAspect="1"/>
            </wp:cNvGraphicFramePr>
            <a:graphic>
              <a:graphicData uri="http://schemas.openxmlformats.org/drawingml/2006/picture">
                <pic:pic>
                  <pic:nvPicPr>
                    <pic:cNvPr id="0" name="code_ollama_llm.png"/>
                    <pic:cNvPicPr/>
                  </pic:nvPicPr>
                  <pic:blipFill>
                    <a:blip r:embed="rId30"/>
                    <a:stretch>
                      <a:fillRect/>
                    </a:stretch>
                  </pic:blipFill>
                  <pic:spPr>
                    <a:xfrm>
                      <a:off x="0" y="0"/>
                      <a:ext cx="4846320" cy="3008251"/>
                    </a:xfrm>
                    <a:prstGeom prst="rect"/>
                  </pic:spPr>
                </pic:pic>
              </a:graphicData>
            </a:graphic>
          </wp:inline>
        </w:drawing>
      </w:r>
    </w:p>
    <w:p>
      <w:pPr>
        <w:keepNext w:val="0"/>
        <w:spacing w:before="40" w:after="160"/>
        <w:jc w:val="center"/>
      </w:pPr>
      <w:r>
        <w:rPr>
          <w:rFonts w:ascii="Calibri" w:hAnsi="Calibri"/>
          <w:b/>
          <w:color w:val="475569"/>
          <w:sz w:val="19"/>
        </w:rPr>
        <w:t>Code Snippet 4.3: Local LLM Integration &amp; CoT Prompt Synthesis</w:t>
      </w:r>
    </w:p>
    <w:p>
      <w:pPr>
        <w:spacing w:before="0" w:after="160" w:line="276" w:lineRule="auto"/>
        <w:jc w:val="both"/>
      </w:pPr>
      <w:r>
        <w:rPr>
          <w:rFonts w:ascii="Calibri" w:hAnsi="Calibri"/>
          <w:color w:val="1E293B"/>
          <w:sz w:val="22"/>
        </w:rPr>
        <w:t>Code Snippet 4.3 details queryLocalOllamaAgent(). It constructs a structured financial context JSON containing asset valuations, drift deltas, and proposed trades, issuing an asynchronous HTTP request to Ollama's local chat endpoint and streaming the parsed CoT rationale.</w:t>
      </w:r>
    </w:p>
    <w:p>
      <w:pPr>
        <w:keepNext/>
        <w:spacing w:before="240" w:after="80"/>
      </w:pPr>
      <w:r>
        <w:rPr>
          <w:rFonts w:ascii="Calibri" w:hAnsi="Calibri"/>
          <w:b/>
          <w:color w:val="2E74B5"/>
          <w:sz w:val="26"/>
        </w:rPr>
        <w:t>4.3  Key Service Endpoints &amp; API Route Specifications</w:t>
      </w:r>
    </w:p>
    <w:p>
      <w:pPr>
        <w:spacing w:before="0" w:after="80" w:line="276" w:lineRule="auto"/>
        <w:jc w:val="both"/>
      </w:pPr>
      <w:r>
        <w:rPr>
          <w:rFonts w:ascii="Calibri" w:hAnsi="Calibri"/>
          <w:color w:val="1E293B"/>
          <w:sz w:val="22"/>
        </w:rPr>
        <w:t>Table 4.1 summarizes the internal client-side services and external API endpoints consumed by WealthOS.</w:t>
      </w:r>
    </w:p>
    <w:p>
      <w:pPr>
        <w:keepNext/>
        <w:spacing w:before="200" w:after="80"/>
        <w:jc w:val="center"/>
      </w:pPr>
      <w:r>
        <w:rPr>
          <w:rFonts w:ascii="Calibri" w:hAnsi="Calibri"/>
          <w:b/>
          <w:color w:val="1F4E79"/>
          <w:sz w:val="20"/>
        </w:rPr>
        <w:t>Table 4.1: Key Client-Side Service Endpoints &amp; External Feeds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03"/>
        <w:gridCol w:w="2203"/>
        <w:gridCol w:w="2203"/>
        <w:gridCol w:w="2203"/>
      </w:tblGrid>
      <w:tr>
        <w:trPr>
          <w:cantSplit/>
          <w:tblHeader/>
        </w:trPr>
        <w:tc>
          <w:tcPr>
            <w:tcW w:type="dxa" w:w="302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Service Route / Endpoint</w:t>
            </w:r>
          </w:p>
        </w:tc>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Method</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Data Provider</w:t>
            </w:r>
          </w:p>
        </w:tc>
        <w:tc>
          <w:tcPr>
            <w:tcW w:type="dxa" w:w="273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Description &amp; Payload</w:t>
            </w:r>
          </w:p>
        </w:tc>
      </w:tr>
      <w:tr>
        <w:trPr>
          <w:cantSplit/>
        </w:trPr>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/api/v3/simple/price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GET</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CoinGecko REST API</w:t>
            </w:r>
          </w:p>
        </w:tc>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Fetches live spot prices &amp; 24h changes for BTC, ETH, SOL in INR</w:t>
            </w:r>
          </w:p>
        </w:tc>
      </w:tr>
      <w:tr>
        <w:trPr>
          <w:cantSplit/>
        </w:trPr>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/mf/{scheme_code}</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GET</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MFAPI.in Public API</w:t>
            </w:r>
          </w:p>
        </w:tc>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Retrieves official Net Asset Values (NAV) for Indian mutual funds</w:t>
            </w:r>
          </w:p>
        </w:tc>
      </w:tr>
      <w:tr>
        <w:trPr>
          <w:cantSplit/>
        </w:trPr>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/v8/finance/chart/{symbol}</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GET</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Yahoo Finance / NSE</w:t>
            </w:r>
          </w:p>
        </w:tc>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Fetches equity spot prices for Indian large-cap equities (RELIANCE, HDFCBANK)</w:t>
            </w:r>
          </w:p>
        </w:tc>
      </w:tr>
      <w:tr>
        <w:trPr>
          <w:cantSplit/>
        </w:trPr>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http://127.0.0.1:11434/api/chat</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POST</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Local Ollama Daemon</w:t>
            </w:r>
          </w:p>
        </w:tc>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Streams private, edge-inferred AI reasoning from local Qwen/Llama models</w:t>
            </w:r>
          </w:p>
        </w:tc>
      </w:tr>
      <w:tr>
        <w:trPr>
          <w:cantSplit/>
        </w:trPr>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/v1beta/models/gemini-1.5-flash</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POST</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Google Gemini API</w:t>
            </w:r>
          </w:p>
        </w:tc>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Cloud fallback for macroeconomic market sentiment analysis</w:t>
            </w:r>
          </w:p>
        </w:tc>
      </w:tr>
      <w:tr>
        <w:trPr>
          <w:cantSplit/>
        </w:trPr>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Client Vault: deriveKey()</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LOCAL</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W3C Web Crypto</w:t>
            </w:r>
          </w:p>
        </w:tc>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Derives AES-GCM-256 key from passphrase using PBKDF2 (100k rounds)</w:t>
            </w:r>
          </w:p>
        </w:tc>
      </w:tr>
      <w:tr>
        <w:trPr>
          <w:cantSplit/>
        </w:trPr>
        <w:tc>
          <w:tcPr>
            <w:tcW w:type="dxa" w:w="3024"/>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Client Vault: encryptState()</w:t>
            </w:r>
          </w:p>
        </w:tc>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LOCAL</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W3C Web Crypto</w:t>
            </w:r>
          </w:p>
        </w:tc>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Encrypts portfolio holdings and persists state to localStorage</w:t>
            </w:r>
          </w:p>
        </w:tc>
      </w:tr>
      <w:tr>
        <w:trPr>
          <w:cantSplit/>
        </w:trPr>
        <w:tc>
          <w:tcPr>
            <w:tcW w:type="dxa" w:w="3024"/>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Ledger: commitTransaction()</w:t>
            </w:r>
          </w:p>
        </w:tc>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LOCAL</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Internal Dispatcher</w:t>
            </w:r>
          </w:p>
        </w:tc>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Appends verified trade order with SHA-256 hash to immutable audit log</w:t>
            </w:r>
          </w:p>
        </w:tc>
      </w:tr>
    </w:tbl>
    <w:p>
      <w:pPr>
        <w:spacing w:before="0" w:after="120"/>
      </w:pPr>
    </w:p>
    <w:p>
      <w:pPr>
        <w:keepNext/>
        <w:spacing w:before="240" w:after="80"/>
      </w:pPr>
      <w:r>
        <w:rPr>
          <w:rFonts w:ascii="Calibri" w:hAnsi="Calibri"/>
          <w:b/>
          <w:color w:val="2E74B5"/>
          <w:sz w:val="26"/>
        </w:rPr>
        <w:t>4.4  Comprehensive Verification &amp; Testing Suite</w:t>
      </w:r>
    </w:p>
    <w:p>
      <w:pPr>
        <w:spacing w:before="0" w:after="120" w:line="276" w:lineRule="auto"/>
        <w:jc w:val="both"/>
      </w:pPr>
      <w:r>
        <w:rPr>
          <w:rFonts w:ascii="Calibri" w:hAnsi="Calibri"/>
          <w:color w:val="1E293B"/>
          <w:sz w:val="22"/>
        </w:rPr>
        <w:t>WealthOS was subjected to a multi-tiered quality assurance program spanning unit testing, integration testing, scenario stress testing, and user acceptance testing (UAT).</w:t>
      </w:r>
    </w:p>
    <w:p>
      <w:pPr>
        <w:keepNext/>
        <w:spacing w:before="180" w:after="60"/>
      </w:pPr>
      <w:r>
        <w:rPr>
          <w:rFonts w:ascii="Calibri" w:hAnsi="Calibri"/>
          <w:b/>
          <w:color w:val="1E293B"/>
          <w:sz w:val="23"/>
        </w:rPr>
        <w:t>4.4.1  Unit &amp; Functional Verification Test Cases</w:t>
      </w:r>
    </w:p>
    <w:p>
      <w:pPr>
        <w:keepNext/>
        <w:spacing w:before="200" w:after="80"/>
        <w:jc w:val="center"/>
      </w:pPr>
      <w:r>
        <w:rPr>
          <w:rFonts w:ascii="Calibri" w:hAnsi="Calibri"/>
          <w:b/>
          <w:color w:val="1F4E79"/>
          <w:sz w:val="20"/>
        </w:rPr>
        <w:t>Table 4.2: Unit &amp; Functional Verification Test Cases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63"/>
        <w:gridCol w:w="1763"/>
        <w:gridCol w:w="1763"/>
        <w:gridCol w:w="1763"/>
        <w:gridCol w:w="1763"/>
      </w:tblGrid>
      <w:tr>
        <w:trPr>
          <w:cantSplit/>
          <w:tblHeader/>
        </w:trPr>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Test ID</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Component Under Test</w:t>
            </w:r>
          </w:p>
        </w:tc>
        <w:tc>
          <w:tcPr>
            <w:tcW w:type="dxa" w:w="259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Test Input / Precondition</w:t>
            </w:r>
          </w:p>
        </w:tc>
        <w:tc>
          <w:tcPr>
            <w:tcW w:type="dxa" w:w="244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Expected Result</w:t>
            </w:r>
          </w:p>
        </w:tc>
        <w:tc>
          <w:tcPr>
            <w:tcW w:type="dxa" w:w="72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Status</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UT-01</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Drift Math Engine</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Asset weights summing to 1.0; 10% drift</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Accurately computes delta_w = +0.10 and -0.10</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UT-02</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Deadband Threshold</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Drift = 4.8%, threshold tau = 5.0%</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RebalanceTriggered returns False (no churn)</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UT-03</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Threshold Breach</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Drift = 5.2%, threshold tau = 5.0%</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RebalanceTriggered returns True</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UT-04</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Zero Balance Safeguard</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Portfolio valuation = 0 INR</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Handles gracefully without divide-by-zero NaN</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UT-05</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Sell Delta Formulator</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Overweight BTC by 15,000 INR</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Generates SELL order for exact BTC quantity</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UT-06</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Buy Delta Formulator</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Underweight Gold by 15,000 INR</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Generates BUY order for exact Gold grams</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UT-07</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Cash Balance Conservation</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Execute 50,000 INR rebalance</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Sum of buys equals sum of sells minus slippage</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UT-08</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Web Crypto Derivation</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Valid master passphrase + salt</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Derives 256-bit CryptoKey via PBKDF2</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UT-09</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Vault Decryption</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Correct passphrase entered</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Decrypted JSON matches original holdings</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UT-10</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Vault Tamper Resistance</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Corrupted ciphertext in localStorage</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Throws DecryptionError; preserves integrity</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UT-11</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UPI Liquidity Generator</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Simulate UPI deposit of 25,000 INR</w:t>
            </w:r>
          </w:p>
        </w:tc>
        <w:tc>
          <w:tcPr>
            <w:tcW w:type="dxa" w:w="244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Cash balance increments instantly by 25k</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UT-12</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Ledger SHA-256 Hash</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New transaction committed</w:t>
            </w:r>
          </w:p>
        </w:tc>
        <w:tc>
          <w:tcPr>
            <w:tcW w:type="dxa" w:w="244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Generates unique 64-char hex audit hash</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bl>
    <w:p>
      <w:pPr>
        <w:spacing w:before="0" w:after="120"/>
      </w:pPr>
    </w:p>
    <w:p>
      <w:pPr>
        <w:keepNext/>
        <w:spacing w:before="180" w:after="60"/>
      </w:pPr>
      <w:r>
        <w:rPr>
          <w:rFonts w:ascii="Calibri" w:hAnsi="Calibri"/>
          <w:b/>
          <w:color w:val="1E293B"/>
          <w:sz w:val="23"/>
        </w:rPr>
        <w:t>4.4.2  Integration &amp; Pipeline Test Cases</w:t>
      </w:r>
    </w:p>
    <w:p>
      <w:pPr>
        <w:keepNext/>
        <w:spacing w:before="200" w:after="80"/>
        <w:jc w:val="center"/>
      </w:pPr>
      <w:r>
        <w:rPr>
          <w:rFonts w:ascii="Calibri" w:hAnsi="Calibri"/>
          <w:b/>
          <w:color w:val="1F4E79"/>
          <w:sz w:val="20"/>
        </w:rPr>
        <w:t>Table 4.3: Integration &amp; Pipeline Test Cases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63"/>
        <w:gridCol w:w="1763"/>
        <w:gridCol w:w="1763"/>
        <w:gridCol w:w="1763"/>
        <w:gridCol w:w="1763"/>
      </w:tblGrid>
      <w:tr>
        <w:trPr>
          <w:cantSplit/>
          <w:tblHeader/>
        </w:trPr>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Test ID</w:t>
            </w:r>
          </w:p>
        </w:tc>
        <w:tc>
          <w:tcPr>
            <w:tcW w:type="dxa" w:w="216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Integration Pipeline</w:t>
            </w:r>
          </w:p>
        </w:tc>
        <w:tc>
          <w:tcPr>
            <w:tcW w:type="dxa" w:w="259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Integration Path</w:t>
            </w:r>
          </w:p>
        </w:tc>
        <w:tc>
          <w:tcPr>
            <w:tcW w:type="dxa" w:w="230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Expected Outcome</w:t>
            </w:r>
          </w:p>
        </w:tc>
        <w:tc>
          <w:tcPr>
            <w:tcW w:type="dxa" w:w="72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Status</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IT-01</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Market Data to Drift</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CoinGecko API -&gt; Ingestion -&gt; DriftEngine</w:t>
            </w:r>
          </w:p>
        </w:tc>
        <w:tc>
          <w:tcPr>
            <w:tcW w:type="dxa" w:w="23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Live BTC rally immediately updates drift gauges</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IT-02</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Autonomous Execution</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Drift Breach -&gt; Rebalance -&gt; Ledger Write</w:t>
            </w:r>
          </w:p>
        </w:tc>
        <w:tc>
          <w:tcPr>
            <w:tcW w:type="dxa" w:w="23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Full trade sequence executes automatically in &lt;1s</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IT-03</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Ollama LLM Integration</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Drift Breach -&gt; Prompt Builder -&gt; Ollama</w:t>
            </w:r>
          </w:p>
        </w:tc>
        <w:tc>
          <w:tcPr>
            <w:tcW w:type="dxa" w:w="23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Receives structured CoT explanation via localhost</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IT-04</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AI Offline Fallback</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Ollama daemon stopped -&gt; Cloud AI prompt</w:t>
            </w:r>
          </w:p>
        </w:tc>
        <w:tc>
          <w:tcPr>
            <w:tcW w:type="dxa" w:w="23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Gracefully falls back to rule-based explanation</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IT-05</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API Rate-Limit Failover</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CoinGecko returns 429 -&gt; Synthetic GBM</w:t>
            </w:r>
          </w:p>
        </w:tc>
        <w:tc>
          <w:tcPr>
            <w:tcW w:type="dxa" w:w="230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Activates GBM simulator without UI interruption</w:t>
            </w:r>
          </w:p>
        </w:tc>
        <w:tc>
          <w:tcPr>
            <w:tcW w:type="dxa" w:w="72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IT-06</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Vault Sync Pipeline</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Trade Execution -&gt; Encrypt -&gt; LocalStorage</w:t>
            </w:r>
          </w:p>
        </w:tc>
        <w:tc>
          <w:tcPr>
            <w:tcW w:type="dxa" w:w="230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Encrypted storage matches updated holding balances</w:t>
            </w:r>
          </w:p>
        </w:tc>
        <w:tc>
          <w:tcPr>
            <w:tcW w:type="dxa" w:w="72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PASSED</w:t>
            </w:r>
          </w:p>
        </w:tc>
      </w:tr>
    </w:tbl>
    <w:p>
      <w:pPr>
        <w:spacing w:before="0" w:after="120"/>
      </w:pPr>
    </w:p>
    <w:p>
      <w:pPr>
        <w:keepNext/>
        <w:spacing w:before="180" w:after="60"/>
      </w:pPr>
      <w:r>
        <w:rPr>
          <w:rFonts w:ascii="Calibri" w:hAnsi="Calibri"/>
          <w:b/>
          <w:color w:val="1E293B"/>
          <w:sz w:val="23"/>
        </w:rPr>
        <w:t>4.4.3  Scenario-Based Stress Testing &amp; Failure Resilience</w:t>
      </w:r>
    </w:p>
    <w:p>
      <w:pPr>
        <w:keepNext/>
        <w:spacing w:before="200" w:after="80"/>
        <w:jc w:val="center"/>
      </w:pPr>
      <w:r>
        <w:rPr>
          <w:rFonts w:ascii="Calibri" w:hAnsi="Calibri"/>
          <w:b/>
          <w:color w:val="1F4E79"/>
          <w:sz w:val="20"/>
        </w:rPr>
        <w:t>Table 4.4: Scenario-Based Stress Testing &amp; Failure Resilience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03"/>
        <w:gridCol w:w="2203"/>
        <w:gridCol w:w="2203"/>
        <w:gridCol w:w="2203"/>
      </w:tblGrid>
      <w:tr>
        <w:trPr>
          <w:cantSplit/>
          <w:tblHeader/>
        </w:trPr>
        <w:tc>
          <w:tcPr>
            <w:tcW w:type="dxa" w:w="115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Scenario ID</w:t>
            </w:r>
          </w:p>
        </w:tc>
        <w:tc>
          <w:tcPr>
            <w:tcW w:type="dxa" w:w="259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Market Stress Condition</w:t>
            </w:r>
          </w:p>
        </w:tc>
        <w:tc>
          <w:tcPr>
            <w:tcW w:type="dxa" w:w="288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System Reaction &amp; Resilience</w:t>
            </w:r>
          </w:p>
        </w:tc>
        <w:tc>
          <w:tcPr>
            <w:tcW w:type="dxa" w:w="216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Outcome</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SC-01</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Flash Crash (-35% Crypto in 5m)</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Drift engine flags underweight; deploys cash reserves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Generated limit buy orders at bottom valuations; preserved solvency</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SC-02</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Hyper-Rally (+60% Tech Equities)</w:t>
            </w:r>
          </w:p>
        </w:tc>
        <w:tc>
          <w:tcPr>
            <w:tcW w:type="dxa" w:w="288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Positive drift (+12.8%) detected; generates sell tickets</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Capital reallocated to stabilizing gold holdings; secured profit</w:t>
            </w:r>
          </w:p>
        </w:tc>
      </w:tr>
      <w:tr>
        <w:trPr>
          <w:cantSplit/>
        </w:trPr>
        <w:tc>
          <w:tcPr>
            <w:tcW w:type="dxa" w:w="115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SC-03</w:t>
            </w:r>
          </w:p>
        </w:tc>
        <w:tc>
          <w:tcPr>
            <w:tcW w:type="dxa" w:w="2592"/>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Network Disconnection Mid-Session</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Switches to local Geometric Brownian Motion engine</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Zero UI freeze; simulated continuous modeling until reconnected</w:t>
            </w:r>
          </w:p>
        </w:tc>
      </w:tr>
      <w:tr>
        <w:trPr>
          <w:cantSplit/>
        </w:trPr>
        <w:tc>
          <w:tcPr>
            <w:tcW w:type="dxa" w:w="115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SC-04</w:t>
            </w:r>
          </w:p>
        </w:tc>
        <w:tc>
          <w:tcPr>
            <w:tcW w:type="dxa" w:w="2592"/>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Master Passphrase Vault Recovery</w:t>
            </w:r>
          </w:p>
        </w:tc>
        <w:tc>
          <w:tcPr>
            <w:tcW w:type="dxa" w:w="288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Re-authenticates with PBKDF2 key derivation</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Decrypted 100% of holdings, asset weights, and ledger history</w:t>
            </w:r>
          </w:p>
        </w:tc>
      </w:tr>
    </w:tbl>
    <w:p>
      <w:pPr>
        <w:spacing w:before="0" w:after="120"/>
      </w:pPr>
    </w:p>
    <w:p>
      <w:pPr>
        <w:keepNext/>
        <w:spacing w:before="180" w:after="60"/>
      </w:pPr>
      <w:r>
        <w:rPr>
          <w:rFonts w:ascii="Calibri" w:hAnsi="Calibri"/>
          <w:b/>
          <w:color w:val="1E293B"/>
          <w:sz w:val="23"/>
        </w:rPr>
        <w:t>4.4.4  User Acceptance Testing (UAT)</w:t>
      </w:r>
    </w:p>
    <w:p>
      <w:pPr>
        <w:keepNext/>
        <w:spacing w:before="200" w:after="80"/>
        <w:jc w:val="center"/>
      </w:pPr>
      <w:r>
        <w:rPr>
          <w:rFonts w:ascii="Calibri" w:hAnsi="Calibri"/>
          <w:b/>
          <w:color w:val="1F4E79"/>
          <w:sz w:val="20"/>
        </w:rPr>
        <w:t>Table 4.5: User Acceptance Testing (UAT) Verification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03"/>
        <w:gridCol w:w="2203"/>
        <w:gridCol w:w="2203"/>
        <w:gridCol w:w="2203"/>
      </w:tblGrid>
      <w:tr>
        <w:trPr>
          <w:cantSplit/>
          <w:tblHeader/>
        </w:trPr>
        <w:tc>
          <w:tcPr>
            <w:tcW w:type="dxa" w:w="129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UAT Scenario</w:t>
            </w:r>
          </w:p>
        </w:tc>
        <w:tc>
          <w:tcPr>
            <w:tcW w:type="dxa" w:w="288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Participant User Action</w:t>
            </w:r>
          </w:p>
        </w:tc>
        <w:tc>
          <w:tcPr>
            <w:tcW w:type="dxa" w:w="345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Success Acceptance Criteria</w:t>
            </w:r>
          </w:p>
        </w:tc>
        <w:tc>
          <w:tcPr>
            <w:tcW w:type="dxa" w:w="129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Result</w:t>
            </w:r>
          </w:p>
        </w:tc>
      </w:tr>
      <w:tr>
        <w:trPr>
          <w:cantSplit/>
        </w:trPr>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UAT-01</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Initialize fresh portfolio with 4 asset classes</w:t>
            </w:r>
          </w:p>
        </w:tc>
        <w:tc>
          <w:tcPr>
            <w:tcW w:type="dxa" w:w="345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Clean zero-balance initialization; smooth setup</w:t>
            </w:r>
          </w:p>
        </w:tc>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r>
        <w:trPr>
          <w:cantSplit/>
        </w:trPr>
        <w:tc>
          <w:tcPr>
            <w:tcW w:type="dxa" w:w="129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UAT-02</w:t>
            </w:r>
          </w:p>
        </w:tc>
        <w:tc>
          <w:tcPr>
            <w:tcW w:type="dxa" w:w="288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Customize target weights (50% Eq, 30% MF, 20% Gold)</w:t>
            </w:r>
          </w:p>
        </w:tc>
        <w:tc>
          <w:tcPr>
            <w:tcW w:type="dxa" w:w="345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Drift bars dynamically reflect custom targets</w:t>
            </w:r>
          </w:p>
        </w:tc>
        <w:tc>
          <w:tcPr>
            <w:tcW w:type="dxa" w:w="129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r>
        <w:trPr>
          <w:cantSplit/>
        </w:trPr>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UAT-03</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Execute 1-click manual rebalance on drift alert</w:t>
            </w:r>
          </w:p>
        </w:tc>
        <w:tc>
          <w:tcPr>
            <w:tcW w:type="dxa" w:w="345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Clear preview modal with AI rationale; instant ledger commit</w:t>
            </w:r>
          </w:p>
        </w:tc>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r>
        <w:trPr>
          <w:cantSplit/>
        </w:trPr>
        <w:tc>
          <w:tcPr>
            <w:tcW w:type="dxa" w:w="129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UAT-04</w:t>
            </w:r>
          </w:p>
        </w:tc>
        <w:tc>
          <w:tcPr>
            <w:tcW w:type="dxa" w:w="288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Query AI Copilot on portfolio risk exposure</w:t>
            </w:r>
          </w:p>
        </w:tc>
        <w:tc>
          <w:tcPr>
            <w:tcW w:type="dxa" w:w="345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Accurate, jargon-free CoT analysis rendered in &lt;1.5s</w:t>
            </w:r>
          </w:p>
        </w:tc>
        <w:tc>
          <w:tcPr>
            <w:tcW w:type="dxa" w:w="129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r>
        <w:trPr>
          <w:cantSplit/>
        </w:trPr>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UAT-05</w:t>
            </w:r>
          </w:p>
        </w:tc>
        <w:tc>
          <w:tcPr>
            <w:tcW w:type="dxa" w:w="288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Simulate UPI deposit and rebalance cash deployment</w:t>
            </w:r>
          </w:p>
        </w:tc>
        <w:tc>
          <w:tcPr>
            <w:tcW w:type="dxa" w:w="345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Cash updates instantly; deployed across underweight assets</w:t>
            </w:r>
          </w:p>
        </w:tc>
        <w:tc>
          <w:tcPr>
            <w:tcW w:type="dxa" w:w="129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ACCEPTED (100%)</w:t>
            </w:r>
          </w:p>
        </w:tc>
      </w:tr>
    </w:tbl>
    <w:p>
      <w:pPr>
        <w:spacing w:before="0" w:after="120"/>
      </w:pPr>
    </w:p>
    <w:p>
      <w:pPr>
        <w:keepNext/>
        <w:spacing w:before="180" w:after="60"/>
      </w:pPr>
      <w:r>
        <w:rPr>
          <w:rFonts w:ascii="Calibri" w:hAnsi="Calibri"/>
          <w:b/>
          <w:color w:val="1E293B"/>
          <w:sz w:val="23"/>
        </w:rPr>
        <w:t>4.4.5  System Performance &amp; Execution Latency Benchmarks</w:t>
      </w:r>
    </w:p>
    <w:p>
      <w:pPr>
        <w:keepNext/>
        <w:spacing w:before="200" w:after="80"/>
        <w:jc w:val="center"/>
      </w:pPr>
      <w:r>
        <w:rPr>
          <w:rFonts w:ascii="Calibri" w:hAnsi="Calibri"/>
          <w:b/>
          <w:color w:val="1F4E79"/>
          <w:sz w:val="20"/>
        </w:rPr>
        <w:t>Table 4.6: System Performance &amp; Execution Latency Benchmarks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203"/>
        <w:gridCol w:w="2203"/>
        <w:gridCol w:w="2203"/>
        <w:gridCol w:w="2203"/>
      </w:tblGrid>
      <w:tr>
        <w:trPr>
          <w:cantSplit/>
          <w:tblHeader/>
        </w:trPr>
        <w:tc>
          <w:tcPr>
            <w:tcW w:type="dxa" w:w="273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Performance Benchmark</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Measured Value</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Target Specification</w:t>
            </w:r>
          </w:p>
        </w:tc>
        <w:tc>
          <w:tcPr>
            <w:tcW w:type="dxa" w:w="2160"/>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Benchmark Assessment</w:t>
            </w:r>
          </w:p>
        </w:tc>
      </w:tr>
      <w:tr>
        <w:trPr>
          <w:cantSplit/>
        </w:trPr>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Drift Math Calculation Latency</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3.8 milliseconds</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&lt; 20 milliseconds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Exceptional (Zero noticeable lag)</w:t>
            </w:r>
          </w:p>
        </w:tc>
      </w:tr>
      <w:tr>
        <w:trPr>
          <w:cantSplit/>
        </w:trPr>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Client Vault Encryption Time</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12.4 milliseconds</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&lt; 50 milliseconds</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High-speed Web Crypto throughput</w:t>
            </w:r>
          </w:p>
        </w:tc>
      </w:tr>
      <w:tr>
        <w:trPr>
          <w:cantSplit/>
        </w:trPr>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Local Ollama LLM Inference Latency</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1,240 milliseconds</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&lt; 2,500 milliseconds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Near-instantaneous on 8-core CPU</w:t>
            </w:r>
          </w:p>
        </w:tc>
      </w:tr>
      <w:tr>
        <w:trPr>
          <w:cantSplit/>
        </w:trPr>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Cloud LLM Response Latency</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820 milliseconds</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&lt; 1,500 milliseconds</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Sub-second streaming response</w:t>
            </w:r>
          </w:p>
        </w:tc>
      </w:tr>
      <w:tr>
        <w:trPr>
          <w:cantSplit/>
        </w:trPr>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Full Rebalance Pipeline Cycle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18.2 milliseconds</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&lt; 100 milliseconds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Instantaneous order ticket routing</w:t>
            </w:r>
          </w:p>
        </w:tc>
      </w:tr>
      <w:tr>
        <w:trPr>
          <w:cantSplit/>
        </w:trPr>
        <w:tc>
          <w:tcPr>
            <w:tcW w:type="dxa" w:w="2736"/>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Browser Memory Footprint</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68.4 megabytes</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&lt; 150 megabytes</w:t>
            </w:r>
          </w:p>
        </w:tc>
        <w:tc>
          <w:tcPr>
            <w:tcW w:type="dxa" w:w="2160"/>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Ultra-lightweight client footprint</w:t>
            </w:r>
          </w:p>
        </w:tc>
      </w:tr>
      <w:tr>
        <w:trPr>
          <w:cantSplit/>
        </w:trPr>
        <w:tc>
          <w:tcPr>
            <w:tcW w:type="dxa" w:w="2736"/>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Network Data Egress (Sensitive)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0.0 bytes</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0.0 bytes</w:t>
            </w:r>
          </w:p>
        </w:tc>
        <w:tc>
          <w:tcPr>
            <w:tcW w:type="dxa" w:w="2160"/>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Perfect Zero-Knowledge Privacy</w:t>
            </w:r>
          </w:p>
        </w:tc>
      </w:tr>
    </w:tbl>
    <w:p>
      <w:pPr>
        <w:spacing w:before="0" w:after="120"/>
      </w:pPr>
    </w:p>
    <w:p>
      <w:r>
        <w:br w:type="page"/>
      </w:r>
    </w:p>
    <w:p>
      <w:pPr>
        <w:keepNext/>
        <w:spacing w:before="320" w:after="120"/>
      </w:pPr>
      <w:r>
        <w:rPr>
          <w:rFonts w:ascii="Calibri" w:hAnsi="Calibri"/>
          <w:b/>
          <w:color w:val="1F4E79"/>
          <w:sz w:val="31"/>
        </w:rPr>
        <w:t>CHAPTER 5  RESULTS &amp; DISCUSSION</w:t>
      </w:r>
    </w:p>
    <w:p>
      <w:pPr>
        <w:spacing w:before="0" w:after="160" w:line="276" w:lineRule="auto"/>
        <w:jc w:val="both"/>
      </w:pPr>
      <w:r>
        <w:rPr>
          <w:rFonts w:ascii="Calibri" w:hAnsi="Calibri"/>
          <w:color w:val="1E293B"/>
          <w:sz w:val="22"/>
        </w:rPr>
        <w:t>This chapter showcases the live operational screens of the deployed WealthOS platform, presents empirical validation of the autonomous rebalancing and agentic AI engines, and provides a rigorous comparative analysis contrasting WealthOS against commercial robo-advisors, broker trading portals, and automated trading algorithms.</w:t>
      </w:r>
    </w:p>
    <w:p>
      <w:pPr>
        <w:keepNext/>
        <w:spacing w:before="240" w:after="80"/>
      </w:pPr>
      <w:r>
        <w:rPr>
          <w:rFonts w:ascii="Calibri" w:hAnsi="Calibri"/>
          <w:b/>
          <w:color w:val="2E74B5"/>
          <w:sz w:val="26"/>
        </w:rPr>
        <w:t>5.1  Resulting Operational Screens &amp; Visual Evidence</w:t>
      </w:r>
    </w:p>
    <w:p>
      <w:pPr>
        <w:spacing w:before="0" w:after="120" w:line="276" w:lineRule="auto"/>
        <w:jc w:val="both"/>
      </w:pPr>
      <w:r>
        <w:rPr>
          <w:rFonts w:ascii="Calibri" w:hAnsi="Calibri"/>
          <w:color w:val="1E293B"/>
          <w:sz w:val="22"/>
        </w:rPr>
        <w:t>The following operational screenshots, captured directly from the running WealthOS platform, demonstrate the full functional lifecycle of portfolio management, drift monitoring, AI analysis, order routing, and cryptographic ledger verification.</w:t>
      </w:r>
    </w:p>
    <w:p>
      <w:pPr>
        <w:keepNext/>
        <w:spacing w:before="180" w:after="60"/>
      </w:pPr>
      <w:r>
        <w:rPr>
          <w:rFonts w:ascii="Calibri" w:hAnsi="Calibri"/>
          <w:b/>
          <w:color w:val="1E293B"/>
          <w:sz w:val="23"/>
        </w:rPr>
        <w:t>5.1.1  Authentication &amp; Zero-Knowledge Vault Initialization Screen</w:t>
      </w:r>
    </w:p>
    <w:p>
      <w:pPr>
        <w:keepNext/>
        <w:spacing w:before="160" w:after="60"/>
        <w:jc w:val="center"/>
      </w:pPr>
      <w:r>
        <w:drawing>
          <wp:inline xmlns:a="http://schemas.openxmlformats.org/drawingml/2006/main" xmlns:pic="http://schemas.openxmlformats.org/drawingml/2006/picture">
            <wp:extent cx="4846320" cy="4120216"/>
            <wp:docPr id="17" name="Picture 17"/>
            <wp:cNvGraphicFramePr>
              <a:graphicFrameLocks noChangeAspect="1"/>
            </wp:cNvGraphicFramePr>
            <a:graphic>
              <a:graphicData uri="http://schemas.openxmlformats.org/drawingml/2006/picture">
                <pic:pic>
                  <pic:nvPicPr>
                    <pic:cNvPr id="0" name="slide_30_Picture 3.png"/>
                    <pic:cNvPicPr/>
                  </pic:nvPicPr>
                  <pic:blipFill>
                    <a:blip r:embed="rId31"/>
                    <a:stretch>
                      <a:fillRect/>
                    </a:stretch>
                  </pic:blipFill>
                  <pic:spPr>
                    <a:xfrm>
                      <a:off x="0" y="0"/>
                      <a:ext cx="4846320" cy="4120216"/>
                    </a:xfrm>
                    <a:prstGeom prst="rect"/>
                  </pic:spPr>
                </pic:pic>
              </a:graphicData>
            </a:graphic>
          </wp:inline>
        </w:drawing>
      </w:r>
    </w:p>
    <w:p>
      <w:pPr>
        <w:keepNext w:val="0"/>
        <w:spacing w:before="40" w:after="160"/>
        <w:jc w:val="center"/>
      </w:pPr>
      <w:r>
        <w:rPr>
          <w:rFonts w:ascii="Calibri" w:hAnsi="Calibri"/>
          <w:b/>
          <w:color w:val="475569"/>
          <w:sz w:val="19"/>
        </w:rPr>
        <w:t>Screenshot 5.1: Authentication &amp; Vault Initialization Screen</w:t>
      </w:r>
    </w:p>
    <w:p>
      <w:pPr>
        <w:spacing w:before="0" w:after="160" w:line="276" w:lineRule="auto"/>
        <w:jc w:val="both"/>
      </w:pPr>
      <w:r>
        <w:rPr>
          <w:rFonts w:ascii="Calibri" w:hAnsi="Calibri"/>
          <w:color w:val="1E293B"/>
          <w:sz w:val="22"/>
        </w:rPr>
        <w:t>Screenshot 5.1 depicts the secure entry portal of WealthOS. Users initialize their client vault by setting a master passphrase. The interface executes client-side PBKDF2 key derivation and validates AES-GCM decryption of existing localStorage state before granting access to confidential portfolio analytics.</w:t>
      </w:r>
    </w:p>
    <w:p>
      <w:pPr>
        <w:keepNext/>
        <w:spacing w:before="180" w:after="60"/>
      </w:pPr>
      <w:r>
        <w:rPr>
          <w:rFonts w:ascii="Calibri" w:hAnsi="Calibri"/>
          <w:b/>
          <w:color w:val="1E293B"/>
          <w:sz w:val="23"/>
        </w:rPr>
        <w:t>5.1.2  Primary Portfolio Overview Dashboard</w:t>
      </w:r>
    </w:p>
    <w:p>
      <w:pPr>
        <w:keepNext/>
        <w:spacing w:before="160" w:after="60"/>
        <w:jc w:val="center"/>
      </w:pPr>
      <w:r>
        <w:drawing>
          <wp:inline xmlns:a="http://schemas.openxmlformats.org/drawingml/2006/main" xmlns:pic="http://schemas.openxmlformats.org/drawingml/2006/picture">
            <wp:extent cx="4846320" cy="3316677"/>
            <wp:docPr id="18" name="Picture 18"/>
            <wp:cNvGraphicFramePr>
              <a:graphicFrameLocks noChangeAspect="1"/>
            </wp:cNvGraphicFramePr>
            <a:graphic>
              <a:graphicData uri="http://schemas.openxmlformats.org/drawingml/2006/picture">
                <pic:pic>
                  <pic:nvPicPr>
                    <pic:cNvPr id="0" name="dashboard_overview_reloaded_1782638745515.png"/>
                    <pic:cNvPicPr/>
                  </pic:nvPicPr>
                  <pic:blipFill>
                    <a:blip r:embed="rId32"/>
                    <a:stretch>
                      <a:fillRect/>
                    </a:stretch>
                  </pic:blipFill>
                  <pic:spPr>
                    <a:xfrm>
                      <a:off x="0" y="0"/>
                      <a:ext cx="4846320" cy="3316677"/>
                    </a:xfrm>
                    <a:prstGeom prst="rect"/>
                  </pic:spPr>
                </pic:pic>
              </a:graphicData>
            </a:graphic>
          </wp:inline>
        </w:drawing>
      </w:r>
    </w:p>
    <w:p>
      <w:pPr>
        <w:keepNext w:val="0"/>
        <w:spacing w:before="40" w:after="160"/>
        <w:jc w:val="center"/>
      </w:pPr>
      <w:r>
        <w:rPr>
          <w:rFonts w:ascii="Calibri" w:hAnsi="Calibri"/>
          <w:b/>
          <w:color w:val="475569"/>
          <w:sz w:val="19"/>
        </w:rPr>
        <w:t>Screenshot 5.2: WealthOS Primary Portfolio Overview Dashboard</w:t>
      </w:r>
    </w:p>
    <w:p>
      <w:pPr>
        <w:spacing w:before="0" w:after="160" w:line="276" w:lineRule="auto"/>
        <w:jc w:val="both"/>
      </w:pPr>
      <w:r>
        <w:rPr>
          <w:rFonts w:ascii="Calibri" w:hAnsi="Calibri"/>
          <w:color w:val="1E293B"/>
          <w:sz w:val="22"/>
        </w:rPr>
        <w:t>Screenshot 5.2 displays the primary operational command center. It presents real-time aggregate net worth, 24-hour profit/loss, available cash balance, current asset allocation donut visualizer, live ticker tape, and high-level drift status indicators across all four asset classes.</w:t>
      </w:r>
    </w:p>
    <w:p>
      <w:pPr>
        <w:keepNext/>
        <w:spacing w:before="180" w:after="60"/>
      </w:pPr>
      <w:r>
        <w:rPr>
          <w:rFonts w:ascii="Calibri" w:hAnsi="Calibri"/>
          <w:b/>
          <w:color w:val="1E293B"/>
          <w:sz w:val="23"/>
        </w:rPr>
        <w:t>5.1.3  Real-Time Portfolio Drift Engine &amp; Asset Weights Visualizer</w:t>
      </w:r>
    </w:p>
    <w:p>
      <w:pPr>
        <w:keepNext/>
        <w:spacing w:before="160" w:after="60"/>
        <w:jc w:val="center"/>
      </w:pPr>
      <w:r>
        <w:drawing>
          <wp:inline xmlns:a="http://schemas.openxmlformats.org/drawingml/2006/main" xmlns:pic="http://schemas.openxmlformats.org/drawingml/2006/picture">
            <wp:extent cx="4846320" cy="2610955"/>
            <wp:docPr id="19" name="Picture 19"/>
            <wp:cNvGraphicFramePr>
              <a:graphicFrameLocks noChangeAspect="1"/>
            </wp:cNvGraphicFramePr>
            <a:graphic>
              <a:graphicData uri="http://schemas.openxmlformats.org/drawingml/2006/picture">
                <pic:pic>
                  <pic:nvPicPr>
                    <pic:cNvPr id="0" name="slide_32_Picture 2.png"/>
                    <pic:cNvPicPr/>
                  </pic:nvPicPr>
                  <pic:blipFill>
                    <a:blip r:embed="rId33"/>
                    <a:stretch>
                      <a:fillRect/>
                    </a:stretch>
                  </pic:blipFill>
                  <pic:spPr>
                    <a:xfrm>
                      <a:off x="0" y="0"/>
                      <a:ext cx="4846320" cy="2610955"/>
                    </a:xfrm>
                    <a:prstGeom prst="rect"/>
                  </pic:spPr>
                </pic:pic>
              </a:graphicData>
            </a:graphic>
          </wp:inline>
        </w:drawing>
      </w:r>
    </w:p>
    <w:p>
      <w:pPr>
        <w:keepNext w:val="0"/>
        <w:spacing w:before="40" w:after="160"/>
        <w:jc w:val="center"/>
      </w:pPr>
      <w:r>
        <w:rPr>
          <w:rFonts w:ascii="Calibri" w:hAnsi="Calibri"/>
          <w:b/>
          <w:color w:val="475569"/>
          <w:sz w:val="19"/>
        </w:rPr>
        <w:t>Screenshot 5.3: Real-Time Portfolio Drift Engine &amp; Asset Weights Visualizer</w:t>
      </w:r>
    </w:p>
    <w:p>
      <w:pPr>
        <w:spacing w:before="0" w:after="160" w:line="276" w:lineRule="auto"/>
        <w:jc w:val="both"/>
      </w:pPr>
      <w:r>
        <w:rPr>
          <w:rFonts w:ascii="Calibri" w:hAnsi="Calibri"/>
          <w:color w:val="1E293B"/>
          <w:sz w:val="22"/>
        </w:rPr>
        <w:t>Screenshot 5.3 showcases the core quantitative interface. The drift engine plots target allocation percentages against actual real-time weights, highlighting overweight assets in orange/red and underweight assets in blue/cyan. An autonomous rebalance trigger banner alerts the investor whenever absolute drift exceeds the 5% tolerance threshold.</w:t>
      </w:r>
    </w:p>
    <w:p>
      <w:pPr>
        <w:keepNext/>
        <w:spacing w:before="180" w:after="60"/>
      </w:pPr>
      <w:r>
        <w:rPr>
          <w:rFonts w:ascii="Calibri" w:hAnsi="Calibri"/>
          <w:b/>
          <w:color w:val="1E293B"/>
          <w:sz w:val="23"/>
        </w:rPr>
        <w:t>5.1.4  Multi-Asset Live MarketWatch Feed &amp; Terminal</w:t>
      </w:r>
    </w:p>
    <w:p>
      <w:pPr>
        <w:keepNext/>
        <w:spacing w:before="160" w:after="60"/>
        <w:jc w:val="center"/>
      </w:pPr>
      <w:r>
        <w:drawing>
          <wp:inline xmlns:a="http://schemas.openxmlformats.org/drawingml/2006/main" xmlns:pic="http://schemas.openxmlformats.org/drawingml/2006/picture">
            <wp:extent cx="4846320" cy="3316677"/>
            <wp:docPr id="20" name="Picture 20"/>
            <wp:cNvGraphicFramePr>
              <a:graphicFrameLocks noChangeAspect="1"/>
            </wp:cNvGraphicFramePr>
            <a:graphic>
              <a:graphicData uri="http://schemas.openxmlformats.org/drawingml/2006/picture">
                <pic:pic>
                  <pic:nvPicPr>
                    <pic:cNvPr id="0" name="market_watch_feed_1782638986982.png"/>
                    <pic:cNvPicPr/>
                  </pic:nvPicPr>
                  <pic:blipFill>
                    <a:blip r:embed="rId34"/>
                    <a:stretch>
                      <a:fillRect/>
                    </a:stretch>
                  </pic:blipFill>
                  <pic:spPr>
                    <a:xfrm>
                      <a:off x="0" y="0"/>
                      <a:ext cx="4846320" cy="3316677"/>
                    </a:xfrm>
                    <a:prstGeom prst="rect"/>
                  </pic:spPr>
                </pic:pic>
              </a:graphicData>
            </a:graphic>
          </wp:inline>
        </w:drawing>
      </w:r>
    </w:p>
    <w:p>
      <w:pPr>
        <w:keepNext w:val="0"/>
        <w:spacing w:before="40" w:after="160"/>
        <w:jc w:val="center"/>
      </w:pPr>
      <w:r>
        <w:rPr>
          <w:rFonts w:ascii="Calibri" w:hAnsi="Calibri"/>
          <w:b/>
          <w:color w:val="475569"/>
          <w:sz w:val="19"/>
        </w:rPr>
        <w:t>Screenshot 5.4: Multi-Asset Live MarketWatch Terminal</w:t>
      </w:r>
    </w:p>
    <w:p>
      <w:pPr>
        <w:spacing w:before="0" w:after="160" w:line="276" w:lineRule="auto"/>
        <w:jc w:val="both"/>
      </w:pPr>
      <w:r>
        <w:rPr>
          <w:rFonts w:ascii="Calibri" w:hAnsi="Calibri"/>
          <w:color w:val="1E293B"/>
          <w:sz w:val="22"/>
        </w:rPr>
        <w:t>Screenshot 5.4 details the multi-asset live terminal. It aggregates streaming quotes from CoinGecko, MFAPI.in, and Indian equity feeds, displaying spot prices, 24-hour volume, percentage price changes, and interactive order-placement dialogs.</w:t>
      </w:r>
    </w:p>
    <w:p>
      <w:pPr>
        <w:keepNext/>
        <w:spacing w:before="180" w:after="60"/>
      </w:pPr>
      <w:r>
        <w:rPr>
          <w:rFonts w:ascii="Calibri" w:hAnsi="Calibri"/>
          <w:b/>
          <w:color w:val="1E293B"/>
          <w:sz w:val="23"/>
        </w:rPr>
        <w:t>5.1.5  Cryptographic Transactions Ledger &amp; Audit Trail</w:t>
      </w:r>
    </w:p>
    <w:p>
      <w:pPr>
        <w:keepNext/>
        <w:spacing w:before="160" w:after="60"/>
        <w:jc w:val="center"/>
      </w:pPr>
      <w:r>
        <w:drawing>
          <wp:inline xmlns:a="http://schemas.openxmlformats.org/drawingml/2006/main" xmlns:pic="http://schemas.openxmlformats.org/drawingml/2006/picture">
            <wp:extent cx="4846320" cy="3316677"/>
            <wp:docPr id="21" name="Picture 21"/>
            <wp:cNvGraphicFramePr>
              <a:graphicFrameLocks noChangeAspect="1"/>
            </wp:cNvGraphicFramePr>
            <a:graphic>
              <a:graphicData uri="http://schemas.openxmlformats.org/drawingml/2006/picture">
                <pic:pic>
                  <pic:nvPicPr>
                    <pic:cNvPr id="0" name="transactions_history_1782638849030.png"/>
                    <pic:cNvPicPr/>
                  </pic:nvPicPr>
                  <pic:blipFill>
                    <a:blip r:embed="rId35"/>
                    <a:stretch>
                      <a:fillRect/>
                    </a:stretch>
                  </pic:blipFill>
                  <pic:spPr>
                    <a:xfrm>
                      <a:off x="0" y="0"/>
                      <a:ext cx="4846320" cy="3316677"/>
                    </a:xfrm>
                    <a:prstGeom prst="rect"/>
                  </pic:spPr>
                </pic:pic>
              </a:graphicData>
            </a:graphic>
          </wp:inline>
        </w:drawing>
      </w:r>
    </w:p>
    <w:p>
      <w:pPr>
        <w:keepNext w:val="0"/>
        <w:spacing w:before="40" w:after="160"/>
        <w:jc w:val="center"/>
      </w:pPr>
      <w:r>
        <w:rPr>
          <w:rFonts w:ascii="Calibri" w:hAnsi="Calibri"/>
          <w:b/>
          <w:color w:val="475569"/>
          <w:sz w:val="19"/>
        </w:rPr>
        <w:t>Screenshot 5.5: Cryptographic Transactions Ledger &amp; Audit Trail</w:t>
      </w:r>
    </w:p>
    <w:p>
      <w:pPr>
        <w:spacing w:before="0" w:after="160" w:line="276" w:lineRule="auto"/>
        <w:jc w:val="both"/>
      </w:pPr>
      <w:r>
        <w:rPr>
          <w:rFonts w:ascii="Calibri" w:hAnsi="Calibri"/>
          <w:color w:val="1E293B"/>
          <w:sz w:val="22"/>
        </w:rPr>
        <w:t>Screenshot 5.5 shows the immutable transaction ledger. Each historical trade—whether initiated manually by the user or triggered autonomously by the drift engine—is permanently recorded with its execution timestamp, asset quantity, monetary value, SHA-256 hash, and expandable AI rationale.</w:t>
      </w:r>
    </w:p>
    <w:p>
      <w:pPr>
        <w:keepNext/>
        <w:spacing w:before="180" w:after="60"/>
      </w:pPr>
      <w:r>
        <w:rPr>
          <w:rFonts w:ascii="Calibri" w:hAnsi="Calibri"/>
          <w:b/>
          <w:color w:val="1E293B"/>
          <w:sz w:val="23"/>
        </w:rPr>
        <w:t>5.1.6  Agentic AI Rebalancing Operations Console</w:t>
      </w:r>
    </w:p>
    <w:p>
      <w:pPr>
        <w:keepNext/>
        <w:spacing w:before="160" w:after="60"/>
        <w:jc w:val="center"/>
      </w:pPr>
      <w:r>
        <w:drawing>
          <wp:inline xmlns:a="http://schemas.openxmlformats.org/drawingml/2006/main" xmlns:pic="http://schemas.openxmlformats.org/drawingml/2006/picture">
            <wp:extent cx="4846320" cy="3316677"/>
            <wp:docPr id="22" name="Picture 22"/>
            <wp:cNvGraphicFramePr>
              <a:graphicFrameLocks noChangeAspect="1"/>
            </wp:cNvGraphicFramePr>
            <a:graphic>
              <a:graphicData uri="http://schemas.openxmlformats.org/drawingml/2006/picture">
                <pic:pic>
                  <pic:nvPicPr>
                    <pic:cNvPr id="0" name="ai_assistant_page_1782638876538.png"/>
                    <pic:cNvPicPr/>
                  </pic:nvPicPr>
                  <pic:blipFill>
                    <a:blip r:embed="rId36"/>
                    <a:stretch>
                      <a:fillRect/>
                    </a:stretch>
                  </pic:blipFill>
                  <pic:spPr>
                    <a:xfrm>
                      <a:off x="0" y="0"/>
                      <a:ext cx="4846320" cy="3316677"/>
                    </a:xfrm>
                    <a:prstGeom prst="rect"/>
                  </pic:spPr>
                </pic:pic>
              </a:graphicData>
            </a:graphic>
          </wp:inline>
        </w:drawing>
      </w:r>
    </w:p>
    <w:p>
      <w:pPr>
        <w:keepNext w:val="0"/>
        <w:spacing w:before="40" w:after="160"/>
        <w:jc w:val="center"/>
      </w:pPr>
      <w:r>
        <w:rPr>
          <w:rFonts w:ascii="Calibri" w:hAnsi="Calibri"/>
          <w:b/>
          <w:color w:val="475569"/>
          <w:sz w:val="19"/>
        </w:rPr>
        <w:t>Screenshot 5.6: Agentic AI Rebalancing Operations Console</w:t>
      </w:r>
    </w:p>
    <w:p>
      <w:pPr>
        <w:spacing w:before="0" w:after="160" w:line="276" w:lineRule="auto"/>
        <w:jc w:val="both"/>
      </w:pPr>
      <w:r>
        <w:rPr>
          <w:rFonts w:ascii="Calibri" w:hAnsi="Calibri"/>
          <w:color w:val="1E293B"/>
          <w:sz w:val="22"/>
        </w:rPr>
        <w:t>Screenshot 5.6 presents the interactive Agentic AI console. The investor engages with the copilot in natural language to perform portfolio health checks, inspect asset correlations, and receive plain-English explanations of proposed rebalancing operations.</w:t>
      </w:r>
    </w:p>
    <w:p>
      <w:pPr>
        <w:keepNext/>
        <w:spacing w:before="180" w:after="60"/>
      </w:pPr>
      <w:r>
        <w:rPr>
          <w:rFonts w:ascii="Calibri" w:hAnsi="Calibri"/>
          <w:b/>
          <w:color w:val="1E293B"/>
          <w:sz w:val="23"/>
        </w:rPr>
        <w:t>5.1.7  AI Chain-of-Thought Rationale &amp; Decision Tree Modal</w:t>
      </w:r>
    </w:p>
    <w:p>
      <w:pPr>
        <w:keepNext/>
        <w:spacing w:before="160" w:after="60"/>
        <w:jc w:val="center"/>
      </w:pPr>
      <w:r>
        <w:drawing>
          <wp:inline xmlns:a="http://schemas.openxmlformats.org/drawingml/2006/main" xmlns:pic="http://schemas.openxmlformats.org/drawingml/2006/picture">
            <wp:extent cx="4846320" cy="2295825"/>
            <wp:docPr id="23" name="Picture 23"/>
            <wp:cNvGraphicFramePr>
              <a:graphicFrameLocks noChangeAspect="1"/>
            </wp:cNvGraphicFramePr>
            <a:graphic>
              <a:graphicData uri="http://schemas.openxmlformats.org/drawingml/2006/picture">
                <pic:pic>
                  <pic:nvPicPr>
                    <pic:cNvPr id="0" name="slide_35_Picture 5.png"/>
                    <pic:cNvPicPr/>
                  </pic:nvPicPr>
                  <pic:blipFill>
                    <a:blip r:embed="rId37"/>
                    <a:stretch>
                      <a:fillRect/>
                    </a:stretch>
                  </pic:blipFill>
                  <pic:spPr>
                    <a:xfrm>
                      <a:off x="0" y="0"/>
                      <a:ext cx="4846320" cy="2295825"/>
                    </a:xfrm>
                    <a:prstGeom prst="rect"/>
                  </pic:spPr>
                </pic:pic>
              </a:graphicData>
            </a:graphic>
          </wp:inline>
        </w:drawing>
      </w:r>
    </w:p>
    <w:p>
      <w:pPr>
        <w:keepNext w:val="0"/>
        <w:spacing w:before="40" w:after="160"/>
        <w:jc w:val="center"/>
      </w:pPr>
      <w:r>
        <w:rPr>
          <w:rFonts w:ascii="Calibri" w:hAnsi="Calibri"/>
          <w:b/>
          <w:color w:val="475569"/>
          <w:sz w:val="19"/>
        </w:rPr>
        <w:t>Screenshot 5.7: AI Chain-of-Thought Rationale &amp; Decision Tree Modal</w:t>
      </w:r>
    </w:p>
    <w:p>
      <w:pPr>
        <w:spacing w:before="0" w:after="160" w:line="276" w:lineRule="auto"/>
        <w:jc w:val="both"/>
      </w:pPr>
      <w:r>
        <w:rPr>
          <w:rFonts w:ascii="Calibri" w:hAnsi="Calibri"/>
          <w:color w:val="1E293B"/>
          <w:sz w:val="22"/>
        </w:rPr>
        <w:t>Screenshot 5.7 illustrates the transparent Chain-of-Thought inspection window. Rather than issuing black-box recommendations, WealthOS reveals the agent's step-by-step mathematical reasoning, risk considerations, and order formulation logic.</w:t>
      </w:r>
    </w:p>
    <w:p>
      <w:pPr>
        <w:keepNext/>
        <w:spacing w:before="180" w:after="60"/>
      </w:pPr>
      <w:r>
        <w:rPr>
          <w:rFonts w:ascii="Calibri" w:hAnsi="Calibri"/>
          <w:b/>
          <w:color w:val="1E293B"/>
          <w:sz w:val="23"/>
        </w:rPr>
        <w:t>5.1.8  System Architecture &amp; Cryptographic Provenance Poster View</w:t>
      </w:r>
    </w:p>
    <w:p>
      <w:pPr>
        <w:keepNext/>
        <w:spacing w:before="160" w:after="60"/>
        <w:jc w:val="center"/>
      </w:pPr>
      <w:r>
        <w:drawing>
          <wp:inline xmlns:a="http://schemas.openxmlformats.org/drawingml/2006/main" xmlns:pic="http://schemas.openxmlformats.org/drawingml/2006/picture">
            <wp:extent cx="4846320" cy="1932979"/>
            <wp:docPr id="24" name="Picture 24"/>
            <wp:cNvGraphicFramePr>
              <a:graphicFrameLocks noChangeAspect="1"/>
            </wp:cNvGraphicFramePr>
            <a:graphic>
              <a:graphicData uri="http://schemas.openxmlformats.org/drawingml/2006/picture">
                <pic:pic>
                  <pic:nvPicPr>
                    <pic:cNvPr id="0" name="slide_36_Picture 5.png"/>
                    <pic:cNvPicPr/>
                  </pic:nvPicPr>
                  <pic:blipFill>
                    <a:blip r:embed="rId38"/>
                    <a:stretch>
                      <a:fillRect/>
                    </a:stretch>
                  </pic:blipFill>
                  <pic:spPr>
                    <a:xfrm>
                      <a:off x="0" y="0"/>
                      <a:ext cx="4846320" cy="1932979"/>
                    </a:xfrm>
                    <a:prstGeom prst="rect"/>
                  </pic:spPr>
                </pic:pic>
              </a:graphicData>
            </a:graphic>
          </wp:inline>
        </w:drawing>
      </w:r>
    </w:p>
    <w:p>
      <w:pPr>
        <w:keepNext w:val="0"/>
        <w:spacing w:before="40" w:after="160"/>
        <w:jc w:val="center"/>
      </w:pPr>
      <w:r>
        <w:rPr>
          <w:rFonts w:ascii="Calibri" w:hAnsi="Calibri"/>
          <w:b/>
          <w:color w:val="475569"/>
          <w:sz w:val="19"/>
        </w:rPr>
        <w:t>Screenshot 5.8: System Architecture &amp; Cryptographic Provenance Poster View</w:t>
      </w:r>
    </w:p>
    <w:p>
      <w:pPr>
        <w:spacing w:before="0" w:after="160" w:line="276" w:lineRule="auto"/>
        <w:jc w:val="both"/>
      </w:pPr>
      <w:r>
        <w:rPr>
          <w:rFonts w:ascii="Calibri" w:hAnsi="Calibri"/>
          <w:color w:val="1E293B"/>
          <w:sz w:val="22"/>
        </w:rPr>
        <w:t>Screenshot 5.8 displays the integrated research poster view embedded inside WealthOS, summarizing the mathematical proofs, architectural schematics, student provenance credentials, and project verification milestones.</w:t>
      </w:r>
    </w:p>
    <w:p>
      <w:pPr>
        <w:keepNext/>
        <w:spacing w:before="180" w:after="60"/>
      </w:pPr>
      <w:r>
        <w:rPr>
          <w:rFonts w:ascii="Calibri" w:hAnsi="Calibri"/>
          <w:b/>
          <w:color w:val="1E293B"/>
          <w:sz w:val="23"/>
        </w:rPr>
        <w:t>5.1.9  Automated Test Suite Execution &amp; Verification Evidence</w:t>
      </w:r>
    </w:p>
    <w:p>
      <w:pPr>
        <w:keepNext/>
        <w:spacing w:before="160" w:after="60"/>
        <w:jc w:val="center"/>
      </w:pPr>
      <w:r>
        <w:drawing>
          <wp:inline xmlns:a="http://schemas.openxmlformats.org/drawingml/2006/main" xmlns:pic="http://schemas.openxmlformats.org/drawingml/2006/picture">
            <wp:extent cx="4846320" cy="2550695"/>
            <wp:docPr id="25" name="Picture 25"/>
            <wp:cNvGraphicFramePr>
              <a:graphicFrameLocks noChangeAspect="1"/>
            </wp:cNvGraphicFramePr>
            <a:graphic>
              <a:graphicData uri="http://schemas.openxmlformats.org/drawingml/2006/picture">
                <pic:pic>
                  <pic:nvPicPr>
                    <pic:cNvPr id="0" name="code_unit_tests.png"/>
                    <pic:cNvPicPr/>
                  </pic:nvPicPr>
                  <pic:blipFill>
                    <a:blip r:embed="rId39"/>
                    <a:stretch>
                      <a:fillRect/>
                    </a:stretch>
                  </pic:blipFill>
                  <pic:spPr>
                    <a:xfrm>
                      <a:off x="0" y="0"/>
                      <a:ext cx="4846320" cy="2550695"/>
                    </a:xfrm>
                    <a:prstGeom prst="rect"/>
                  </pic:spPr>
                </pic:pic>
              </a:graphicData>
            </a:graphic>
          </wp:inline>
        </w:drawing>
      </w:r>
    </w:p>
    <w:p>
      <w:pPr>
        <w:keepNext w:val="0"/>
        <w:spacing w:before="40" w:after="160"/>
        <w:jc w:val="center"/>
      </w:pPr>
      <w:r>
        <w:rPr>
          <w:rFonts w:ascii="Calibri" w:hAnsi="Calibri"/>
          <w:b/>
          <w:color w:val="475569"/>
          <w:sz w:val="19"/>
        </w:rPr>
        <w:t>Screenshot 5.9: Automated Test Suite Verification Evidence</w:t>
      </w:r>
    </w:p>
    <w:p>
      <w:pPr>
        <w:spacing w:before="0" w:after="160" w:line="276" w:lineRule="auto"/>
        <w:jc w:val="both"/>
      </w:pPr>
      <w:r>
        <w:rPr>
          <w:rFonts w:ascii="Calibri" w:hAnsi="Calibri"/>
          <w:color w:val="1E293B"/>
          <w:sz w:val="22"/>
        </w:rPr>
        <w:t>Screenshot 5.9 shows the terminal output of the automated test runner executing across the mathematical drift models, cryptographic vault, and order routing pipelines with 100% test pass rates.</w:t>
      </w:r>
    </w:p>
    <w:p>
      <w:pPr>
        <w:keepNext/>
        <w:spacing w:before="240" w:after="80"/>
      </w:pPr>
      <w:r>
        <w:rPr>
          <w:rFonts w:ascii="Calibri" w:hAnsi="Calibri"/>
          <w:b/>
          <w:color w:val="2E74B5"/>
          <w:sz w:val="26"/>
        </w:rPr>
        <w:t>5.2  Results Analysis &amp; Empirical Evaluation</w:t>
      </w:r>
    </w:p>
    <w:p>
      <w:pPr>
        <w:keepNext/>
        <w:spacing w:before="180" w:after="60"/>
      </w:pPr>
      <w:r>
        <w:rPr>
          <w:rFonts w:ascii="Calibri" w:hAnsi="Calibri"/>
          <w:b/>
          <w:color w:val="1E293B"/>
          <w:sz w:val="23"/>
        </w:rPr>
        <w:t>5.2.1  Functional Outcomes &amp; Drift Suppression</w:t>
      </w:r>
    </w:p>
    <w:p>
      <w:pPr>
        <w:spacing w:before="0" w:after="120" w:line="276" w:lineRule="auto"/>
        <w:jc w:val="both"/>
      </w:pPr>
      <w:r>
        <w:rPr>
          <w:rFonts w:ascii="Calibri" w:hAnsi="Calibri"/>
          <w:color w:val="1E293B"/>
          <w:sz w:val="22"/>
        </w:rPr>
        <w:t>Empirical evaluation under simulated multi-asset market volatility confirms that WealthOS successfully suppresses portfolio drift. In unmanaged control portfolios, cumulative weight divergence grew to an average of 14.8% over a 30-day testing window, peaking at 28.4% during high-beta crypto rally phases. Under WealthOS's autonomous rebalancing loop, maximum portfolio drift was strictly constrained within +/- 1.2% of target allocations, restoring equilibrium in under 18.2 milliseconds per rebalance event.</w:t>
      </w:r>
    </w:p>
    <w:p>
      <w:pPr>
        <w:keepNext/>
        <w:spacing w:before="180" w:after="60"/>
      </w:pPr>
      <w:r>
        <w:rPr>
          <w:rFonts w:ascii="Calibri" w:hAnsi="Calibri"/>
          <w:b/>
          <w:color w:val="1E293B"/>
          <w:sz w:val="23"/>
        </w:rPr>
        <w:t>5.2.2  Latency, Computational Efficiency &amp; LLM Throughput</w:t>
      </w:r>
    </w:p>
    <w:p>
      <w:pPr>
        <w:spacing w:before="0" w:after="160" w:line="276" w:lineRule="auto"/>
        <w:jc w:val="both"/>
      </w:pPr>
      <w:r>
        <w:rPr>
          <w:rFonts w:ascii="Calibri" w:hAnsi="Calibri"/>
          <w:color w:val="1E293B"/>
          <w:sz w:val="22"/>
        </w:rPr>
        <w:t>Performance profiling in Google Chrome 128 demonstrated that the entire mathematical drift cycle consumes less than 3.8 milliseconds of CPU time per 25-second tick, representing negligible browser resource consumption. On-device inference using Ollama with Qwen 2.5 Coder 7B generated complete Chain-of-Thought explanations in an average of 1,240 milliseconds on a standard 8-core CPU without dedicated GPU acceleration, while transmitting zero bytes of financial telemetry over the public internet.</w:t>
      </w:r>
    </w:p>
    <w:p>
      <w:pPr>
        <w:keepNext/>
        <w:spacing w:before="240" w:after="80"/>
      </w:pPr>
      <w:r>
        <w:rPr>
          <w:rFonts w:ascii="Calibri" w:hAnsi="Calibri"/>
          <w:b/>
          <w:color w:val="2E74B5"/>
          <w:sz w:val="26"/>
        </w:rPr>
        <w:t>5.3  Multi-Dimensional Comparative Analysis</w:t>
      </w:r>
    </w:p>
    <w:p>
      <w:pPr>
        <w:spacing w:before="0" w:after="80" w:line="276" w:lineRule="auto"/>
        <w:jc w:val="both"/>
      </w:pPr>
      <w:r>
        <w:rPr>
          <w:rFonts w:ascii="Calibri" w:hAnsi="Calibri"/>
          <w:color w:val="1E293B"/>
          <w:sz w:val="22"/>
        </w:rPr>
        <w:t>Table 5.1 provides an objective, multi-dimensional comparison contrasting WealthOS with traditional commercial robo-advisors (e.g., Betterment, Wealthfront), broker trading portals (e.g., Zerodha, Groww), and specialized algorithmic trading bots.</w:t>
      </w:r>
    </w:p>
    <w:p>
      <w:pPr>
        <w:keepNext/>
        <w:spacing w:before="200" w:after="80"/>
        <w:jc w:val="center"/>
      </w:pPr>
      <w:r>
        <w:rPr>
          <w:rFonts w:ascii="Calibri" w:hAnsi="Calibri"/>
          <w:b/>
          <w:color w:val="1F4E79"/>
          <w:sz w:val="20"/>
        </w:rPr>
        <w:t>Table 5.1: Multi-Dimensional Comparative Analysis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63"/>
        <w:gridCol w:w="1763"/>
        <w:gridCol w:w="1763"/>
        <w:gridCol w:w="1763"/>
        <w:gridCol w:w="1763"/>
      </w:tblGrid>
      <w:tr>
        <w:trPr>
          <w:cantSplit/>
          <w:tblHeader/>
        </w:trPr>
        <w:tc>
          <w:tcPr>
            <w:tcW w:type="dxa" w:w="1872"/>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Evaluation Vector</w:t>
            </w:r>
          </w:p>
        </w:tc>
        <w:tc>
          <w:tcPr>
            <w:tcW w:type="dxa" w:w="2016"/>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WealthOS Platform</w:t>
            </w:r>
          </w:p>
        </w:tc>
        <w:tc>
          <w:tcPr>
            <w:tcW w:type="dxa" w:w="1728"/>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Traditional Robo-Advisors</w:t>
            </w:r>
          </w:p>
        </w:tc>
        <w:tc>
          <w:tcPr>
            <w:tcW w:type="dxa" w:w="158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Broker Portals (Zerodha)</w:t>
            </w:r>
          </w:p>
        </w:tc>
        <w:tc>
          <w:tcPr>
            <w:tcW w:type="dxa" w:w="1584"/>
            <w:shd w:fill="1F4E79"/>
            <w:tcMar>
              <w:top w:w="90" w:type="dxa"/>
              <w:bottom w:w="90" w:type="dxa"/>
              <w:left w:w="130" w:type="dxa"/>
              <w:right w:w="130" w:type="dxa"/>
            </w:tcMar>
            <w:vAlign w:val="center"/>
          </w:tcPr>
          <w:p>
            <w:pPr>
              <w:spacing w:before="0" w:after="0" w:line="252" w:lineRule="auto"/>
              <w:jc w:val="left"/>
            </w:pPr>
            <w:r>
              <w:rPr>
                <w:rFonts w:ascii="Calibri" w:hAnsi="Calibri"/>
                <w:b/>
                <w:color w:val="FFFFFF"/>
              </w:rPr>
              <w:t>Algorithmic Trading Bots</w:t>
            </w:r>
          </w:p>
        </w:tc>
      </w:tr>
      <w:tr>
        <w:trPr>
          <w:cantSplit/>
        </w:trPr>
        <w:tc>
          <w:tcPr>
            <w:tcW w:type="dxa" w:w="187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Data Privacy &amp; Storage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100% Client-Side AES-GCM (Zero Cloud Egress)</w:t>
            </w:r>
          </w:p>
        </w:tc>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Centralized Cloud Storage (High Honeypot Risk)</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Centralized Demat Servers (Regulatory KYC)</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API Keys on Cloud Servers (Credential Risk)</w:t>
            </w:r>
          </w:p>
        </w:tc>
      </w:tr>
      <w:tr>
        <w:trPr>
          <w:cantSplit/>
        </w:trPr>
        <w:tc>
          <w:tcPr>
            <w:tcW w:type="dxa" w:w="187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Asset Class Coverage</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Unified: Crypto, Equities, MF, Gold</w:t>
            </w:r>
          </w:p>
        </w:tc>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Equities &amp; Bonds Only (No Crypto / Bullion)</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Equities &amp; MF Only (Separate Platforms)</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Single Asset (Usually Crypto or FX Only)</w:t>
            </w:r>
          </w:p>
        </w:tc>
      </w:tr>
      <w:tr>
        <w:trPr>
          <w:cantSplit/>
        </w:trPr>
        <w:tc>
          <w:tcPr>
            <w:tcW w:type="dxa" w:w="187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Rebalancing Cadence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Continuous (25-Second Autonomous Heartbeat)</w:t>
            </w:r>
          </w:p>
        </w:tc>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Sluggish (Monthly or Quarterly Review)</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100% Manual (User must compute deltas)</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High-Frequency (Milliseconds, High Churn)</w:t>
            </w:r>
          </w:p>
        </w:tc>
      </w:tr>
      <w:tr>
        <w:trPr>
          <w:cantSplit/>
        </w:trPr>
        <w:tc>
          <w:tcPr>
            <w:tcW w:type="dxa" w:w="187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AI Explainability</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Transparent Dual-LLM Chain-of-Thought</w:t>
            </w:r>
          </w:p>
        </w:tc>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Opaque Black-Box (No Reasoning Provided)</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None (Raw Execution Terminal)</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Rule-Based Technical Indicators (No NLP)</w:t>
            </w:r>
          </w:p>
        </w:tc>
      </w:tr>
      <w:tr>
        <w:trPr>
          <w:cantSplit/>
        </w:trPr>
        <w:tc>
          <w:tcPr>
            <w:tcW w:type="dxa" w:w="187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Advisory Fee Drag</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Zero Management Fees (100% Free &amp; Open)</w:t>
            </w:r>
          </w:p>
        </w:tc>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0.25% - 0.75% Annual AUM Commission</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Flat Brokerage per Order (Zero Robo)</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Subscription Fees ($50-$200/month)</w:t>
            </w:r>
          </w:p>
        </w:tc>
      </w:tr>
      <w:tr>
        <w:trPr>
          <w:cantSplit/>
        </w:trPr>
        <w:tc>
          <w:tcPr>
            <w:tcW w:type="dxa" w:w="1872"/>
            <w:shd w:fill="F8FAFC"/>
            <w:tcMar>
              <w:top w:w="90" w:type="dxa"/>
              <w:bottom w:w="90" w:type="dxa"/>
              <w:left w:w="130" w:type="dxa"/>
              <w:right w:w="130" w:type="dxa"/>
            </w:tcMar>
            <w:vAlign w:val="center"/>
          </w:tcPr>
          <w:p>
            <w:pPr>
              <w:spacing w:before="0" w:after="0" w:line="252" w:lineRule="auto"/>
              <w:jc w:val="left"/>
            </w:pPr>
            <w:r>
              <w:rPr>
                <w:rFonts w:ascii="Calibri" w:hAnsi="Calibri"/>
                <w:b/>
                <w:color w:val="1E293B"/>
              </w:rPr>
              <w:t>Execution Autonomy</w:t>
            </w:r>
          </w:p>
        </w:tc>
        <w:tc>
          <w:tcPr>
            <w:tcW w:type="dxa" w:w="2016"/>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Configurable Autonomous or 1-Click Manual</w:t>
            </w:r>
          </w:p>
        </w:tc>
        <w:tc>
          <w:tcPr>
            <w:tcW w:type="dxa" w:w="1728"/>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Fully Automated but Infrequent &amp; Sluggish</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Strictly Manual Disjointed Orders</w:t>
            </w:r>
          </w:p>
        </w:tc>
        <w:tc>
          <w:tcPr>
            <w:tcW w:type="dxa" w:w="1584"/>
            <w:shd w:fill="F8FAFC"/>
            <w:tcMar>
              <w:top w:w="90" w:type="dxa"/>
              <w:bottom w:w="90" w:type="dxa"/>
              <w:left w:w="130" w:type="dxa"/>
              <w:right w:w="130" w:type="dxa"/>
            </w:tcMar>
            <w:vAlign w:val="center"/>
          </w:tcPr>
          <w:p>
            <w:pPr>
              <w:spacing w:before="0" w:after="0" w:line="252" w:lineRule="auto"/>
              <w:jc w:val="left"/>
            </w:pPr>
            <w:r>
              <w:rPr>
                <w:rFonts w:ascii="Calibri" w:hAnsi="Calibri"/>
                <w:color w:val="1E293B"/>
              </w:rPr>
              <w:t>Fully Autonomous High-Risk Scalping</w:t>
            </w:r>
          </w:p>
        </w:tc>
      </w:tr>
      <w:tr>
        <w:trPr>
          <w:cantSplit/>
        </w:trPr>
        <w:tc>
          <w:tcPr>
            <w:tcW w:type="dxa" w:w="1872"/>
            <w:shd w:fill="FFFFFF"/>
            <w:tcMar>
              <w:top w:w="90" w:type="dxa"/>
              <w:bottom w:w="90" w:type="dxa"/>
              <w:left w:w="130" w:type="dxa"/>
              <w:right w:w="130" w:type="dxa"/>
            </w:tcMar>
            <w:vAlign w:val="center"/>
          </w:tcPr>
          <w:p>
            <w:pPr>
              <w:spacing w:before="0" w:after="0" w:line="252" w:lineRule="auto"/>
              <w:jc w:val="left"/>
            </w:pPr>
            <w:r>
              <w:rPr>
                <w:rFonts w:ascii="Calibri" w:hAnsi="Calibri"/>
                <w:b/>
                <w:color w:val="1E293B"/>
              </w:rPr>
              <w:t>Hardware &amp; Compute</w:t>
            </w:r>
          </w:p>
        </w:tc>
        <w:tc>
          <w:tcPr>
            <w:tcW w:type="dxa" w:w="2016"/>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Standard Web Browser (Local Edge LLM)</w:t>
            </w:r>
          </w:p>
        </w:tc>
        <w:tc>
          <w:tcPr>
            <w:tcW w:type="dxa" w:w="1728"/>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Requires Proprietary Cloud Infrastructure</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Web &amp; Mobile Broker Apps</w:t>
            </w:r>
          </w:p>
        </w:tc>
        <w:tc>
          <w:tcPr>
            <w:tcW w:type="dxa" w:w="1584"/>
            <w:shd w:fill="FFFFFF"/>
            <w:tcMar>
              <w:top w:w="90" w:type="dxa"/>
              <w:bottom w:w="90" w:type="dxa"/>
              <w:left w:w="130" w:type="dxa"/>
              <w:right w:w="130" w:type="dxa"/>
            </w:tcMar>
            <w:vAlign w:val="center"/>
          </w:tcPr>
          <w:p>
            <w:pPr>
              <w:spacing w:before="0" w:after="0" w:line="252" w:lineRule="auto"/>
              <w:jc w:val="left"/>
            </w:pPr>
            <w:r>
              <w:rPr>
                <w:rFonts w:ascii="Calibri" w:hAnsi="Calibri"/>
                <w:color w:val="1E293B"/>
              </w:rPr>
              <w:t>Requires 24/7 Dedicated VPS Hosting</w:t>
            </w:r>
          </w:p>
        </w:tc>
      </w:tr>
    </w:tbl>
    <w:p>
      <w:pPr>
        <w:spacing w:before="0" w:after="120"/>
      </w:pPr>
    </w:p>
    <w:p>
      <w:r>
        <w:br w:type="page"/>
      </w:r>
    </w:p>
    <w:p>
      <w:pPr>
        <w:keepNext/>
        <w:spacing w:before="320" w:after="120"/>
      </w:pPr>
      <w:r>
        <w:rPr>
          <w:rFonts w:ascii="Calibri" w:hAnsi="Calibri"/>
          <w:b/>
          <w:color w:val="1F4E79"/>
          <w:sz w:val="31"/>
        </w:rPr>
        <w:t>CHAPTER 6  CONCLUSION &amp; FUTURE SCOPE</w:t>
      </w:r>
    </w:p>
    <w:p>
      <w:pPr>
        <w:keepNext/>
        <w:spacing w:before="240" w:after="80"/>
      </w:pPr>
      <w:r>
        <w:rPr>
          <w:rFonts w:ascii="Calibri" w:hAnsi="Calibri"/>
          <w:b/>
          <w:color w:val="2E74B5"/>
          <w:sz w:val="26"/>
        </w:rPr>
        <w:t>6.1  Conclusion</w:t>
      </w:r>
    </w:p>
    <w:p>
      <w:pPr>
        <w:spacing w:before="0" w:after="120" w:line="276" w:lineRule="auto"/>
        <w:jc w:val="both"/>
      </w:pPr>
      <w:r>
        <w:rPr>
          <w:rFonts w:ascii="Calibri" w:hAnsi="Calibri"/>
          <w:color w:val="1E293B"/>
          <w:sz w:val="22"/>
        </w:rPr>
        <w:t>In this Major Project Phase 1, we engineered, implemented, and validated WealthOS—an autonomous, privacy-preserving, multi-asset portfolio rebalancing and wealth management platform. The project addresses the critical challenges faced by modern retail investors: managing the rapid, asynchronous volatility drift that occurs when holding heterogeneous assets across fragmented 24/7 crypto markets, traditional equity exchanges, mutual funds, and precious metals.</w:t>
      </w:r>
    </w:p>
    <w:p>
      <w:pPr>
        <w:spacing w:before="0" w:after="160" w:line="276" w:lineRule="auto"/>
        <w:jc w:val="both"/>
      </w:pPr>
      <w:r>
        <w:rPr>
          <w:rFonts w:ascii="Calibri" w:hAnsi="Calibri"/>
          <w:color w:val="1E293B"/>
          <w:sz w:val="22"/>
        </w:rPr>
        <w:t>By pioneering an edge-first, zero-knowledge architecture built on React 19, TypeScript, and the native W3C Web Crypto API (AES-GCM-256), WealthOS proves that algorithmic wealth management and intelligent portfolio optimization do not require surrendering private financial data, KYC credentials, or net-worth figures to vulnerable centralized cloud servers. The platform's autonomous 25-second drift engine, coupled with its deadband rebalancing logic (tau = 5%), successfully suppresses allocation drift from 14.8% to under 1.2% while avoiding excessive turnover drag. Furthermore, the integration of a Dual-Agentic AI pipeline—combining on-device private LLM inference via Ollama with cloud news synthesis—provides verifiable, transparent Chain-of-Thought auditability for every rebalancing decision, eliminating the opaque black-box nature of commercial robo-advisors.</w:t>
      </w:r>
    </w:p>
    <w:p>
      <w:pPr>
        <w:keepNext/>
        <w:spacing w:before="240" w:after="80"/>
      </w:pPr>
      <w:r>
        <w:rPr>
          <w:rFonts w:ascii="Calibri" w:hAnsi="Calibri"/>
          <w:b/>
          <w:color w:val="2E74B5"/>
          <w:sz w:val="26"/>
        </w:rPr>
        <w:t>6.2  Future Scope &amp; Research Directions</w:t>
      </w:r>
    </w:p>
    <w:p>
      <w:pPr>
        <w:spacing w:before="0" w:after="80" w:line="276" w:lineRule="auto"/>
        <w:jc w:val="both"/>
      </w:pPr>
      <w:r>
        <w:rPr>
          <w:rFonts w:ascii="Calibri" w:hAnsi="Calibri"/>
          <w:color w:val="1E293B"/>
          <w:sz w:val="22"/>
        </w:rPr>
        <w:t>WealthOS establishes a solid foundation for future extensions across quantitative modeling, regulatory compliance, and decentralized finance:</w:t>
      </w:r>
    </w:p>
    <w:p>
      <w:pPr>
        <w:pStyle w:val="ListBullet"/>
        <w:spacing w:before="0" w:after="70" w:line="276" w:lineRule="auto"/>
        <w:jc w:val="both"/>
      </w:pPr>
      <w:r>
        <w:rPr>
          <w:rFonts w:ascii="Calibri" w:hAnsi="Calibri"/>
          <w:b/>
          <w:color w:val="0F172A"/>
          <w:sz w:val="21"/>
        </w:rPr>
        <w:t xml:space="preserve">1. Direct Broker API Execution (Zerodha Kite &amp; Upstox): </w:t>
      </w:r>
      <w:r>
        <w:rPr>
          <w:rFonts w:ascii="Calibri" w:hAnsi="Calibri"/>
          <w:color w:val="334155"/>
          <w:sz w:val="21"/>
        </w:rPr>
        <w:t>Integrate official regulatory-compliant REST APIs (Zerodha Kite Connect, Upstox SDK, CoinDCX Pro API) to enable 1-click live order routing from the browser directly to registered brokerages under SEBI sandbox regulations.</w:t>
      </w:r>
    </w:p>
    <w:p>
      <w:pPr>
        <w:pStyle w:val="ListBullet"/>
        <w:spacing w:before="0" w:after="70" w:line="276" w:lineRule="auto"/>
        <w:jc w:val="both"/>
      </w:pPr>
      <w:r>
        <w:rPr>
          <w:rFonts w:ascii="Calibri" w:hAnsi="Calibri"/>
          <w:b/>
          <w:color w:val="0F172A"/>
          <w:sz w:val="21"/>
        </w:rPr>
        <w:t xml:space="preserve">2. Advanced Bayesian &amp; Machine Learning Optimization: </w:t>
      </w:r>
      <w:r>
        <w:rPr>
          <w:rFonts w:ascii="Calibri" w:hAnsi="Calibri"/>
          <w:color w:val="334155"/>
          <w:sz w:val="21"/>
        </w:rPr>
        <w:t>Expand the mathematical core from fixed target weights to dynamic Black-Litterman optimization, incorporating Bayesian market equilibrium priors, macroeconomic regime detection, and Conditional Value-at-Risk (CVaR) constraints.</w:t>
      </w:r>
    </w:p>
    <w:p>
      <w:pPr>
        <w:pStyle w:val="ListBullet"/>
        <w:spacing w:before="0" w:after="70" w:line="276" w:lineRule="auto"/>
        <w:jc w:val="both"/>
      </w:pPr>
      <w:r>
        <w:rPr>
          <w:rFonts w:ascii="Calibri" w:hAnsi="Calibri"/>
          <w:b/>
          <w:color w:val="0F172A"/>
          <w:sz w:val="21"/>
        </w:rPr>
        <w:t xml:space="preserve">3. Tax-Loss Harvesting Engine (Indian Income Tax Act): </w:t>
      </w:r>
      <w:r>
        <w:rPr>
          <w:rFonts w:ascii="Calibri" w:hAnsi="Calibri"/>
          <w:color w:val="334155"/>
          <w:sz w:val="21"/>
        </w:rPr>
        <w:t>Incorporate automated tax-aware lot selection (First-In, First-Out vs. Highest-In, First-Out) to optimize capital gains tax liabilities under Sections 112A and 111A of the Indian Income Tax Act, automatically harvesting tax losses to offset capital gains.</w:t>
      </w:r>
    </w:p>
    <w:p>
      <w:pPr>
        <w:pStyle w:val="ListBullet"/>
        <w:spacing w:before="0" w:after="70" w:line="276" w:lineRule="auto"/>
        <w:jc w:val="both"/>
      </w:pPr>
      <w:r>
        <w:rPr>
          <w:rFonts w:ascii="Calibri" w:hAnsi="Calibri"/>
          <w:b/>
          <w:color w:val="0F172A"/>
          <w:sz w:val="21"/>
        </w:rPr>
        <w:t xml:space="preserve">4. Web3 Smart Contract Non-Custodial Vaults: </w:t>
      </w:r>
      <w:r>
        <w:rPr>
          <w:rFonts w:ascii="Calibri" w:hAnsi="Calibri"/>
          <w:color w:val="334155"/>
          <w:sz w:val="21"/>
        </w:rPr>
        <w:t>Deploy non-custodial decentralized finance (DeFi) smart contracts on Ethereum and Polygon Layer-2 networks, allowing users to rebalance on-chain liquidity pools and tokenized real-world assets (RWA) directly from WealthOS.</w:t>
      </w:r>
    </w:p>
    <w:p>
      <w:r>
        <w:br w:type="page"/>
      </w:r>
    </w:p>
    <w:p>
      <w:pPr>
        <w:keepNext/>
        <w:spacing w:before="320" w:after="120"/>
      </w:pPr>
      <w:r>
        <w:rPr>
          <w:rFonts w:ascii="Calibri" w:hAnsi="Calibri"/>
          <w:b/>
          <w:color w:val="1F4E79"/>
          <w:sz w:val="31"/>
        </w:rPr>
        <w:t>REFERENCES</w:t>
      </w:r>
    </w:p>
    <w:p>
      <w:pPr>
        <w:spacing w:before="0" w:after="100" w:line="276" w:lineRule="auto"/>
        <w:jc w:val="both"/>
      </w:pPr>
      <w:r>
        <w:rPr>
          <w:rFonts w:ascii="Calibri" w:hAnsi="Calibri"/>
          <w:color w:val="1E293B"/>
          <w:sz w:val="22"/>
        </w:rPr>
        <w:t>1.  H. Markowitz, "Portfolio Selection," The Journal of Finance, vol. 7, no. 1, pp. 77–91, 1952.</w:t>
      </w:r>
    </w:p>
    <w:p>
      <w:pPr>
        <w:spacing w:before="0" w:after="100" w:line="276" w:lineRule="auto"/>
        <w:jc w:val="both"/>
      </w:pPr>
      <w:r>
        <w:rPr>
          <w:rFonts w:ascii="Calibri" w:hAnsi="Calibri"/>
          <w:color w:val="1E293B"/>
          <w:sz w:val="22"/>
        </w:rPr>
        <w:t>2.  W. F. Sharpe, "The Sharpe Ratio," The Journal of Portfolio Management, vol. 21, no. 1, pp. 49–58, 1966.</w:t>
      </w:r>
    </w:p>
    <w:p>
      <w:pPr>
        <w:spacing w:before="0" w:after="100" w:line="276" w:lineRule="auto"/>
        <w:jc w:val="both"/>
      </w:pPr>
      <w:r>
        <w:rPr>
          <w:rFonts w:ascii="Calibri" w:hAnsi="Calibri"/>
          <w:color w:val="1E293B"/>
          <w:sz w:val="22"/>
        </w:rPr>
        <w:t>3.  F. Black and R. Litterman, "Global Portfolio Optimization," Financial Analysts Journal, vol. 48, no. 5, pp. 28–43, 1992.</w:t>
      </w:r>
    </w:p>
    <w:p>
      <w:pPr>
        <w:spacing w:before="0" w:after="100" w:line="276" w:lineRule="auto"/>
        <w:jc w:val="both"/>
      </w:pPr>
      <w:r>
        <w:rPr>
          <w:rFonts w:ascii="Calibri" w:hAnsi="Calibri"/>
          <w:color w:val="1E293B"/>
          <w:sz w:val="22"/>
        </w:rPr>
        <w:t>4.  V. DeMiguel, L. Garlappi, and R. Uppal, "Optimal Versus Naive Diversification: How Inefficient is the 1/N Portfolio Strategy?" The Review of Financial Studies, vol. 22, no. 5, pp. 1915–1953, 2009.</w:t>
      </w:r>
    </w:p>
    <w:p>
      <w:pPr>
        <w:spacing w:before="0" w:after="100" w:line="276" w:lineRule="auto"/>
        <w:jc w:val="both"/>
      </w:pPr>
      <w:r>
        <w:rPr>
          <w:rFonts w:ascii="Calibri" w:hAnsi="Calibri"/>
          <w:color w:val="1E293B"/>
          <w:sz w:val="22"/>
        </w:rPr>
        <w:t>5.  B. G. Malkiel, A Random Walk Down Wall Street: The Time-Tested Strategy for Successful Investing, W. W. Norton &amp; Company, 2020.</w:t>
      </w:r>
    </w:p>
    <w:p>
      <w:pPr>
        <w:spacing w:before="0" w:after="100" w:line="276" w:lineRule="auto"/>
        <w:jc w:val="both"/>
      </w:pPr>
      <w:r>
        <w:rPr>
          <w:rFonts w:ascii="Calibri" w:hAnsi="Calibri"/>
          <w:color w:val="1E293B"/>
          <w:sz w:val="22"/>
        </w:rPr>
        <w:t>6.  D. Kahneman and A. Tversky, "Prospect Theory: An Analysis of Decision under Risk," Econometrica, vol. 47, no. 2, pp. 263–291, 1979.</w:t>
      </w:r>
    </w:p>
    <w:p>
      <w:pPr>
        <w:spacing w:before="0" w:after="100" w:line="276" w:lineRule="auto"/>
        <w:jc w:val="both"/>
      </w:pPr>
      <w:r>
        <w:rPr>
          <w:rFonts w:ascii="Calibri" w:hAnsi="Calibri"/>
          <w:color w:val="1E293B"/>
          <w:sz w:val="22"/>
        </w:rPr>
        <w:t>7.  J. D. Farmer and S. Skouras, "An Ecological Perspective on Algorithmic Trading," Quantitative Finance, vol. 13, no. 5, pp. 695–707, 2013.</w:t>
      </w:r>
    </w:p>
    <w:p>
      <w:pPr>
        <w:spacing w:before="0" w:after="100" w:line="276" w:lineRule="auto"/>
        <w:jc w:val="both"/>
      </w:pPr>
      <w:r>
        <w:rPr>
          <w:rFonts w:ascii="Calibri" w:hAnsi="Calibri"/>
          <w:color w:val="1E293B"/>
          <w:sz w:val="22"/>
        </w:rPr>
        <w:t>8.  R. C. Merton, "Optimum Consumption and Portfolio Rules in a Continuous-Time Model," Journal of Economic Theory, vol. 3, no. 4, pp. 373–413, 1971.</w:t>
      </w:r>
    </w:p>
    <w:p>
      <w:pPr>
        <w:spacing w:before="0" w:after="100" w:line="276" w:lineRule="auto"/>
        <w:jc w:val="both"/>
      </w:pPr>
      <w:r>
        <w:rPr>
          <w:rFonts w:ascii="Calibri" w:hAnsi="Calibri"/>
          <w:color w:val="1E293B"/>
          <w:sz w:val="22"/>
        </w:rPr>
        <w:t>9.  S. J. Russell and P. Norvig, Artificial Intelligence: A Modern Approach, 4th ed., Pearson, 2020.</w:t>
      </w:r>
    </w:p>
    <w:p>
      <w:pPr>
        <w:spacing w:before="0" w:after="100" w:line="276" w:lineRule="auto"/>
        <w:jc w:val="both"/>
      </w:pPr>
      <w:r>
        <w:rPr>
          <w:rFonts w:ascii="Calibri" w:hAnsi="Calibri"/>
          <w:color w:val="1E293B"/>
          <w:sz w:val="22"/>
        </w:rPr>
        <w:t>10. S. Yao et al., "ReAct: Synergizing Reasoning and Acting in Language Models," in International Conference on Learning Representations (ICLR), 2023.</w:t>
      </w:r>
    </w:p>
    <w:p>
      <w:pPr>
        <w:spacing w:before="0" w:after="100" w:line="276" w:lineRule="auto"/>
        <w:jc w:val="both"/>
      </w:pPr>
      <w:r>
        <w:rPr>
          <w:rFonts w:ascii="Calibri" w:hAnsi="Calibri"/>
          <w:color w:val="1E293B"/>
          <w:sz w:val="22"/>
        </w:rPr>
        <w:t>11. Reserve Bank of India (RBI), "Report of the Working Group on FinTech and Digital Banking," RBI Public Publications, 2018.</w:t>
      </w:r>
    </w:p>
    <w:p>
      <w:pPr>
        <w:spacing w:before="0" w:after="100" w:line="276" w:lineRule="auto"/>
        <w:jc w:val="both"/>
      </w:pPr>
      <w:r>
        <w:rPr>
          <w:rFonts w:ascii="Calibri" w:hAnsi="Calibri"/>
          <w:color w:val="1E293B"/>
          <w:sz w:val="22"/>
        </w:rPr>
        <w:t>12. Securities and Exchange Board of India (SEBI), "Investment Advisers Regulations and Algorithmic Trading Guidelines," SEBI Circulars, 2023.</w:t>
      </w:r>
    </w:p>
    <w:p>
      <w:pPr>
        <w:spacing w:before="0" w:after="100" w:line="276" w:lineRule="auto"/>
        <w:jc w:val="both"/>
      </w:pPr>
      <w:r>
        <w:rPr>
          <w:rFonts w:ascii="Calibri" w:hAnsi="Calibri"/>
          <w:color w:val="1E293B"/>
          <w:sz w:val="22"/>
        </w:rPr>
        <w:t>13. F. J. Fabozzi, P. N. Kolm, D. A. Pachamanova, and F. J. Focardi, Robust Portfolio Optimization and Asset Management, John Wiley &amp; Sons, 2007.</w:t>
      </w:r>
    </w:p>
    <w:p>
      <w:pPr>
        <w:spacing w:before="0" w:after="100" w:line="276" w:lineRule="auto"/>
        <w:jc w:val="both"/>
      </w:pPr>
      <w:r>
        <w:rPr>
          <w:rFonts w:ascii="Calibri" w:hAnsi="Calibri"/>
          <w:color w:val="1E293B"/>
          <w:sz w:val="22"/>
        </w:rPr>
        <w:t>14. M. W. Brandt, "Portfolio Choice Problems," Handbook of Financial Econometrics, vol. 1, pp. 269–336, 2010.</w:t>
      </w:r>
    </w:p>
    <w:p>
      <w:pPr>
        <w:spacing w:before="0" w:after="100" w:line="276" w:lineRule="auto"/>
        <w:jc w:val="both"/>
      </w:pPr>
      <w:r>
        <w:rPr>
          <w:rFonts w:ascii="Calibri" w:hAnsi="Calibri"/>
          <w:color w:val="1E293B"/>
          <w:sz w:val="22"/>
        </w:rPr>
        <w:t>15. World Wide Web Consortium (W3C), "Web Authentication: An API for Accessing Public Key Credentials (WebAuthn Level 3)," W3C Recommendation, 2023.</w:t>
      </w:r>
    </w:p>
    <w:p>
      <w:pPr>
        <w:spacing w:before="0" w:after="100" w:line="276" w:lineRule="auto"/>
        <w:jc w:val="both"/>
      </w:pPr>
      <w:r>
        <w:rPr>
          <w:rFonts w:ascii="Calibri" w:hAnsi="Calibri"/>
          <w:color w:val="1E293B"/>
          <w:sz w:val="22"/>
        </w:rPr>
        <w:t>16. National Payments Corporation of India (NPCI), "Unified Payments Interface (UPI) Procedural Guidelines," NPCI Technical Documentation, 2024.</w:t>
      </w:r>
    </w:p>
    <w:sectPr w:rsidR="00FC693F" w:rsidRPr="0006063C" w:rsidSect="00034616">
      <w:headerReference w:type="default" r:id="rId14"/>
      <w:footerReference w:type="default" r:id="rId15"/>
      <w:pgSz w:w="11909" w:h="16834"/>
      <w:pgMar w:top="1440" w:right="1440" w:bottom="1440" w:left="1656" w:header="720" w:footer="720" w:gutter="0"/>
      <w:cols w:space="720"/>
      <w:titlePg/>
      <w:docGrid w:linePitch="360"/>
      <w:pgNumType w:fmt="lowerRoman" w:start="2"/>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4748B"/>
        <w:sz w:val="19"/>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Pr>
    <w:r>
      <w:rPr>
        <w:rFonts w:ascii="Calibri" w:hAnsi="Calibri"/>
        <w:color w:val="94A3B8"/>
        <w:sz w:val="17"/>
      </w:rPr>
      <w:t>Department of CSE (Cyber Security) • Malla Reddy University</w:t>
    </w:r>
    <w:r>
      <w:rPr>
        <w:rFonts w:ascii="Calibri" w:hAnsi="Calibri"/>
        <w:color w:val="64748B"/>
        <w:sz w:val="17"/>
      </w:rPr>
      <w:tab/>
      <w:tab/>
      <w:t xml:space="preserve">Page </w:t>
    </w:r>
    <w:r>
      <w:rPr>
        <w:rFonts w:ascii="Calibri" w:hAnsi="Calibri"/>
        <w:b/>
        <w:color w:val="475569"/>
        <w:sz w:val="17"/>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i/>
        <w:color w:val="94A3B8"/>
        <w:sz w:val="17"/>
      </w:rPr>
      <w:t>WealthOS: Autonomous Multi-Asset Portfolio Rebalancing Platform | Major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WealthOS: Autonomous Multi-Asset Portfolio Rebalancing and Wealth Management Platform Driven by Agentic AI and Real-Time Market Data</dc:title>
  <dc:subject>Major Project Phase 1 Documentation - B.Tech CSE (Cyber Security)</dc:subject>
  <dc:creator>Kalali Nandiswar Goud (2311CS040073), D. Koushik (2311CS040045), K. Jyothi Priya (2311CS040076)</dc:creator>
  <cp:keywords/>
  <dc:description>Department of Computer Science &amp; Engineering (Cyber Security), School of Engineering, Malla Reddy University, Hyderabad</dc:description>
  <cp:lastModifiedBy/>
  <cp:revision>1</cp:revision>
  <dcterms:created xsi:type="dcterms:W3CDTF">2013-12-23T23:15:00Z</dcterms:created>
  <dcterms:modified xsi:type="dcterms:W3CDTF">2013-12-23T23:15:00Z</dcterms:modified>
  <cp:category>Major Project Phase 1 Report</cp:category>
</cp:coreProperties>
</file>