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line="252" w:lineRule="auto"/>
        <w:jc w:val="center"/>
      </w:pPr>
      <w:r>
        <w:rPr>
          <w:rFonts w:ascii="Times New Roman" w:hAnsi="Times New Roman"/>
          <w:b/>
          <w:i w:val="0"/>
          <w:color w:val="000000"/>
          <w:sz w:val="34"/>
        </w:rPr>
        <w:t>WealthOS: A Privacy-Preserving Agent-Assisted Real-Time Multi-Asset Portfolio Rebalancing Framework for Indian Retail Investors</w:t>
      </w:r>
    </w:p>
    <w:p>
      <w:pPr>
        <w:spacing w:before="40" w:after="40" w:line="252" w:lineRule="auto"/>
        <w:jc w:val="center"/>
      </w:pPr>
      <w:r>
        <w:rPr>
          <w:rFonts w:ascii="Times New Roman" w:hAnsi="Times New Roman"/>
          <w:b/>
          <w:i w:val="0"/>
          <w:color w:val="000000"/>
          <w:sz w:val="22"/>
        </w:rPr>
        <w:t>K. Nandiswar Goud,  D. Koushik,  K. Jyothi Priya</w:t>
      </w:r>
    </w:p>
    <w:p>
      <w:pPr>
        <w:spacing w:before="20" w:after="40" w:line="252" w:lineRule="auto"/>
        <w:jc w:val="center"/>
      </w:pPr>
      <w:r>
        <w:rPr>
          <w:rFonts w:ascii="Times New Roman" w:hAnsi="Times New Roman"/>
          <w:b w:val="0"/>
          <w:i/>
          <w:color w:val="282828"/>
          <w:sz w:val="19"/>
        </w:rPr>
        <w:t>Department of Computer Science and Engineering, School of Engineering</w:t>
        <w:br/>
        <w:t>Malla Reddy University, Hyderabad, Telangana, India</w:t>
      </w:r>
    </w:p>
    <w:p>
      <w:pPr>
        <w:spacing w:before="20" w:after="160" w:line="252" w:lineRule="auto"/>
        <w:jc w:val="center"/>
      </w:pPr>
      <w:r>
        <w:rPr>
          <w:rFonts w:ascii="Courier New" w:hAnsi="Courier New"/>
          <w:b w:val="0"/>
          <w:i w:val="0"/>
          <w:color w:val="1E3C78"/>
          <w:sz w:val="17"/>
        </w:rPr>
        <w:t>{2311cs040073, 2311cs040045, 2311cs040076}@mallareddyuniversity.ac.in</w:t>
      </w:r>
    </w:p>
    <w:p>
      <w:pPr>
        <w:sectPr>
          <w:pgSz w:w="12240" w:h="15840"/>
          <w:pgMar w:top="1080" w:right="936" w:bottom="1080" w:left="936" w:header="720" w:footer="720" w:gutter="0"/>
          <w:cols w:space="720"/>
          <w:docGrid w:linePitch="360"/>
        </w:sectPr>
      </w:pPr>
    </w:p>
    <w:p>
      <w:pPr>
        <w:spacing w:before="40" w:after="60" w:line="252"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Preserving target risk allocations across heterogeneous asset classes poses a continuous operational dilemma for retail investors. Because equities, mutual funds, physical bullion, and cryptocurrencies experience asymmetric market volatilities and asynchronous trading sessions, multi-asset portfolios undergo persistent allocation drift. Conventional robo-advisors enforce rigid monthly batch reviews and mandate transmitting sensitive personal financial ledgers to commercial cloud servers, introducing severe data privacy vulnerabilities. In this work, we present WealthOS, a client-centric, agent-assisted wealth management platform designed to automate multi-asset portfolio monitoring and rebalancing in real time. Our architecture integrates live telemetry from public endpoints (CoinGecko, MFAPI, Metals.dev, and ER-API) with client-side reactive state management in React 19 and TypeScript. The system calculates signed allocation drift across 16 distinct assets spanning four categories and executes automated rebalancing whenever aggregate absolute drift exceeds an empirical threshold of θ = 0.40%. To guarantee financial sovereignty, core deterministic portfolio sizing is decoupled from narrative reasoning, while an integrated local AI workflow generates user-visible recommendation explanations and immutable audit ledgers without external data exposure. Across an empirical 30-day continuous simulation comprising 43,200 observation ticks, WealthOS curbed average portfolio drift by 85.6% relative to unmanaged holdings (reducing mean drift from 8.12% to 1.17%) with an average deterministic evaluation latency of 0.0084 milliseconds. These findings demonstrate an effective, privacy-preserving paradigm for autonomous retail wealth management.</w:t>
      </w:r>
    </w:p>
    <w:p>
      <w:pPr>
        <w:spacing w:before="40" w:after="120" w:line="252" w:lineRule="auto"/>
        <w:jc w:val="both"/>
      </w:pPr>
      <w:r>
        <w:rPr>
          <w:rFonts w:ascii="Times New Roman" w:hAnsi="Times New Roman"/>
          <w:b/>
          <w:i w:val="0"/>
          <w:color w:val="000000"/>
          <w:sz w:val="18"/>
        </w:rPr>
        <w:t xml:space="preserve">Keywords: </w:t>
      </w:r>
      <w:r>
        <w:rPr>
          <w:rFonts w:ascii="Times New Roman" w:hAnsi="Times New Roman"/>
          <w:b w:val="0"/>
          <w:i/>
          <w:color w:val="000000"/>
          <w:sz w:val="18"/>
        </w:rPr>
        <w:t>Robo-advising, multi-asset portfolio rebalancing, drift corridor, client data privacy, agentic decision support, empirical study.</w:t>
      </w:r>
    </w:p>
    <w:p>
      <w:pPr>
        <w:keepNext/>
        <w:spacing w:before="140" w:after="40" w:line="252" w:lineRule="auto"/>
        <w:jc w:val="left"/>
      </w:pPr>
      <w:r>
        <w:rPr>
          <w:rFonts w:ascii="Times New Roman" w:hAnsi="Times New Roman"/>
          <w:b/>
          <w:i w:val="0"/>
          <w:color w:val="000000"/>
          <w:sz w:val="20"/>
        </w:rPr>
        <w:t>1  Introduction</w:t>
      </w:r>
    </w:p>
    <w:p>
      <w:pPr>
        <w:spacing w:before="0" w:after="70" w:line="252" w:lineRule="auto"/>
        <w:jc w:val="both"/>
      </w:pPr>
      <w:r>
        <w:rPr>
          <w:rFonts w:ascii="Times New Roman" w:hAnsi="Times New Roman"/>
          <w:b w:val="0"/>
          <w:i w:val="0"/>
          <w:color w:val="0F0F0F"/>
          <w:sz w:val="19"/>
        </w:rPr>
        <w:t>Direct participation in capital markets has expanded substantially among individual retail investors over the past decade. Personal portfolios now routinely span a diverse basket of holdings: domestic blue-chip equities, mutual funds, precious metals (physical gold and silver bullion), and decentralized cryptocurrencies. Modern quantitative portfolio theory establishes that long-term risk-adjusted capital preservation depends fundamentally on maintaining proportional asset weights aligned with an investor's predetermined risk ceiling ([1, 2]). However, asset classes move under idiosyncratic macroeconomic cycles, currency fluctuations, and liquidity shocks. Consequently, active multi-asset portfolios undergo continuous allocation drift, wherein realized capital allocations detach from initial target baselines.</w:t>
      </w:r>
    </w:p>
    <w:p>
      <w:pPr>
        <w:spacing w:before="0" w:after="70" w:line="252" w:lineRule="auto"/>
        <w:jc w:val="both"/>
      </w:pPr>
      <w:r>
        <w:rPr>
          <w:rFonts w:ascii="Times New Roman" w:hAnsi="Times New Roman"/>
          <w:b w:val="0"/>
          <w:i w:val="0"/>
          <w:color w:val="0F0F0F"/>
          <w:sz w:val="19"/>
        </w:rPr>
        <w:t>When left unmanaged, allocation drift severely distorts risk exposure. During market expansions, volatile speculative assets appreciate rapidly and dominate the portfolio's total valuation, exposing the investor to catastrophic drawdowns during subsequent corrections. Conversely, when defensive holdings contract, capital preservation buffers erode unnoticed.</w:t>
      </w:r>
    </w:p>
    <w:p>
      <w:pPr>
        <w:keepNext/>
        <w:spacing w:before="90" w:after="30" w:line="252" w:lineRule="auto"/>
        <w:jc w:val="left"/>
      </w:pPr>
      <w:r>
        <w:rPr>
          <w:rFonts w:ascii="Times New Roman" w:hAnsi="Times New Roman"/>
          <w:b/>
          <w:i/>
          <w:color w:val="141414"/>
          <w:sz w:val="19"/>
        </w:rPr>
        <w:t>1.1  Challenges of Multi-Asset Management in Retail Practice</w:t>
      </w:r>
    </w:p>
    <w:p>
      <w:pPr>
        <w:spacing w:before="0" w:after="70" w:line="252" w:lineRule="auto"/>
        <w:jc w:val="both"/>
      </w:pPr>
      <w:r>
        <w:rPr>
          <w:rFonts w:ascii="Times New Roman" w:hAnsi="Times New Roman"/>
          <w:b w:val="0"/>
          <w:i w:val="0"/>
          <w:color w:val="0F0F0F"/>
          <w:sz w:val="19"/>
        </w:rPr>
        <w:t>Executing disciplined portfolio rebalancing in retail environments presents three distinct challenges:</w:t>
      </w:r>
    </w:p>
    <w:p>
      <w:pPr>
        <w:spacing w:before="0" w:after="70" w:line="252" w:lineRule="auto"/>
        <w:jc w:val="both"/>
      </w:pPr>
      <w:r>
        <w:rPr>
          <w:rFonts w:ascii="Times New Roman" w:hAnsi="Times New Roman"/>
          <w:b w:val="0"/>
          <w:i w:val="0"/>
          <w:color w:val="0F0F0F"/>
          <w:sz w:val="19"/>
        </w:rPr>
        <w:t>First, retail investors suffer from severe behavioral frictions, particularly the disposition effect (reluctance to trim winning assets) and loss aversion during market contractions ([6, 12]). Manual rebalancing requires counter-cyclical discipline that retail participants rarely sustain.</w:t>
      </w:r>
    </w:p>
    <w:p>
      <w:pPr>
        <w:spacing w:before="0" w:after="70" w:line="252" w:lineRule="auto"/>
        <w:jc w:val="both"/>
      </w:pPr>
      <w:r>
        <w:rPr>
          <w:rFonts w:ascii="Times New Roman" w:hAnsi="Times New Roman"/>
          <w:b w:val="0"/>
          <w:i w:val="0"/>
          <w:color w:val="0F0F0F"/>
          <w:sz w:val="19"/>
        </w:rPr>
        <w:t>Second, managing cross-venue valuations across segregated brokerage accounts, mutual fund portals, bullion dealers, and cryptocurrency wallets involves tedious, multi-currency calculations. Heterogeneous market hours further complicate real-time cross-asset valuation.</w:t>
      </w:r>
    </w:p>
    <w:p>
      <w:pPr>
        <w:spacing w:before="0" w:after="70" w:line="252" w:lineRule="auto"/>
        <w:jc w:val="both"/>
      </w:pPr>
      <w:r>
        <w:rPr>
          <w:rFonts w:ascii="Times New Roman" w:hAnsi="Times New Roman"/>
          <w:b w:val="0"/>
          <w:i w:val="0"/>
          <w:color w:val="0F0F0F"/>
          <w:sz w:val="19"/>
        </w:rPr>
        <w:t>Third, commercial robo-advisors rely on centralized cloud backends ([7, 14]). Users are forced to transmit full transactional histories, linked bank details, and net worth records to corporate servers. This creates severe personal data privacy vulnerabilities and centralization risks.</w:t>
      </w:r>
    </w:p>
    <w:p>
      <w:pPr>
        <w:keepNext/>
        <w:spacing w:before="90" w:after="30" w:line="252" w:lineRule="auto"/>
        <w:jc w:val="left"/>
      </w:pPr>
      <w:r>
        <w:rPr>
          <w:rFonts w:ascii="Times New Roman" w:hAnsi="Times New Roman"/>
          <w:b/>
          <w:i/>
          <w:color w:val="141414"/>
          <w:sz w:val="19"/>
        </w:rPr>
        <w:t>1.2  Our Main Contributions</w:t>
      </w:r>
    </w:p>
    <w:p>
      <w:pPr>
        <w:spacing w:before="0" w:after="70" w:line="252" w:lineRule="auto"/>
        <w:jc w:val="both"/>
      </w:pPr>
      <w:r>
        <w:rPr>
          <w:rFonts w:ascii="Times New Roman" w:hAnsi="Times New Roman"/>
          <w:b w:val="0"/>
          <w:i w:val="0"/>
          <w:color w:val="0F0F0F"/>
          <w:sz w:val="19"/>
        </w:rPr>
        <w:t>To overcome these challenges, we introduce WealthOS, a sovereign, agent-assisted portfolio rebalancing platform. The primary contributions of our work are:</w:t>
      </w:r>
    </w:p>
    <w:p>
      <w:pPr>
        <w:spacing w:before="0" w:after="70" w:line="252" w:lineRule="auto"/>
        <w:jc w:val="both"/>
      </w:pPr>
      <w:r>
        <w:rPr>
          <w:rFonts w:ascii="Times New Roman" w:hAnsi="Times New Roman"/>
          <w:b w:val="0"/>
          <w:i w:val="0"/>
          <w:color w:val="0F0F0F"/>
          <w:sz w:val="19"/>
        </w:rPr>
        <w:t>• A Heterogeneous Telemetry Engine: A client-side polling pipeline aggregating live cryptocurrency prices (CoinGecko), Indian mutual fund NAVs (MFAPI), commodity bullion rates (Metals.dev/Comex), and currency conversions (ER-API) into a normalized real-time asset model.</w:t>
      </w:r>
    </w:p>
    <w:p>
      <w:pPr>
        <w:spacing w:before="0" w:after="70" w:line="252" w:lineRule="auto"/>
        <w:jc w:val="both"/>
      </w:pPr>
      <w:r>
        <w:rPr>
          <w:rFonts w:ascii="Times New Roman" w:hAnsi="Times New Roman"/>
          <w:b w:val="0"/>
          <w:i w:val="0"/>
          <w:color w:val="0F0F0F"/>
          <w:sz w:val="19"/>
        </w:rPr>
        <w:t>• Deterministic Corridor-Governed Rebalancing: A reactive state manager implemented in React 19 Context that continuously evaluates L1-norm portfolio drift vectors and executes corrective capital deployment when divergence breaches an empirical threshold of θ = 0.40%.</w:t>
      </w:r>
    </w:p>
    <w:p>
      <w:pPr>
        <w:spacing w:before="0" w:after="70" w:line="252" w:lineRule="auto"/>
        <w:jc w:val="both"/>
      </w:pPr>
      <w:r>
        <w:rPr>
          <w:rFonts w:ascii="Times New Roman" w:hAnsi="Times New Roman"/>
          <w:b w:val="0"/>
          <w:i w:val="0"/>
          <w:color w:val="0F0F0F"/>
          <w:sz w:val="19"/>
        </w:rPr>
        <w:t>• Sovereign Agentic Decision Workflow: A dual-layer architecture decoupling core mathematical trade sizing from narrative reasoning, enabling on-device language models (Ollama runtime) to generate human-readable decision rationales without leaking financial records.</w:t>
      </w:r>
    </w:p>
    <w:p>
      <w:pPr>
        <w:spacing w:before="0" w:after="70" w:line="252" w:lineRule="auto"/>
        <w:jc w:val="both"/>
      </w:pPr>
      <w:r>
        <w:rPr>
          <w:rFonts w:ascii="Times New Roman" w:hAnsi="Times New Roman"/>
          <w:b w:val="0"/>
          <w:i w:val="0"/>
          <w:color w:val="0F0F0F"/>
          <w:sz w:val="19"/>
        </w:rPr>
        <w:t>• Empirical Benchmark Evaluation: A 30-day continuous market simulation across 43,200 observation ticks benchmarking WealthOS against passive buy-and-hold and periodic calendar schedules, establishing an 85.6% drift reduction with 0.0084 ms execution latency.</w:t>
      </w:r>
    </w:p>
    <w:p>
      <w:pPr>
        <w:keepNext/>
        <w:spacing w:before="140" w:after="40" w:line="252" w:lineRule="auto"/>
        <w:jc w:val="left"/>
      </w:pPr>
      <w:r>
        <w:rPr>
          <w:rFonts w:ascii="Times New Roman" w:hAnsi="Times New Roman"/>
          <w:b/>
          <w:i w:val="0"/>
          <w:color w:val="000000"/>
          <w:sz w:val="20"/>
        </w:rPr>
        <w:t>2  The WealthOS Rebalancing Framework</w:t>
      </w:r>
    </w:p>
    <w:p>
      <w:pPr>
        <w:spacing w:before="0" w:after="70" w:line="252" w:lineRule="auto"/>
        <w:jc w:val="both"/>
      </w:pPr>
      <w:r>
        <w:rPr>
          <w:rFonts w:ascii="Times New Roman" w:hAnsi="Times New Roman"/>
          <w:b w:val="0"/>
          <w:i w:val="0"/>
          <w:color w:val="0F0F0F"/>
          <w:sz w:val="19"/>
        </w:rPr>
        <w:t>This section details the mathematical problem formulation, corridor decision policy, and architectural separation of concerns implemented in WealthOS.</w:t>
      </w:r>
    </w:p>
    <w:p>
      <w:pPr>
        <w:keepNext/>
        <w:spacing w:before="90" w:after="30" w:line="252" w:lineRule="auto"/>
        <w:jc w:val="left"/>
      </w:pPr>
      <w:r>
        <w:rPr>
          <w:rFonts w:ascii="Times New Roman" w:hAnsi="Times New Roman"/>
          <w:b/>
          <w:i/>
          <w:color w:val="141414"/>
          <w:sz w:val="19"/>
        </w:rPr>
        <w:t>2.1  Multi-Asset Portfolio State &amp; Drift Formulation</w:t>
      </w:r>
    </w:p>
    <w:p>
      <w:pPr>
        <w:spacing w:before="0" w:after="70" w:line="252" w:lineRule="auto"/>
        <w:jc w:val="both"/>
      </w:pPr>
      <w:r>
        <w:rPr>
          <w:rFonts w:ascii="Times New Roman" w:hAnsi="Times New Roman"/>
          <w:b w:val="0"/>
          <w:i w:val="0"/>
          <w:color w:val="0F0F0F"/>
          <w:sz w:val="19"/>
        </w:rPr>
        <w:t>Consider an investment universe of n = 16 assets spanning four asset classes: Metals, Equities, Mutual Funds, and Cryptocurrencies. At each discrete evaluation epoch t, let qi,t denote the quantity held of asset i, Pi,t the prevailing spot price in Indian Rupees (INR), and Ct the available unallocated cash balance.</w:t>
      </w:r>
    </w:p>
    <w:p>
      <w:pPr>
        <w:spacing w:before="0" w:after="70" w:line="252" w:lineRule="auto"/>
        <w:jc w:val="both"/>
      </w:pPr>
      <w:r>
        <w:rPr>
          <w:rFonts w:ascii="Times New Roman" w:hAnsi="Times New Roman"/>
          <w:b w:val="0"/>
          <w:i w:val="0"/>
          <w:color w:val="0F0F0F"/>
          <w:sz w:val="19"/>
        </w:rPr>
        <w:t>The total invested valuation and aggregate portfolio net worth are defined as:</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V_{inv,t} = \sum_{i=1}^n q_{i,t} P_{i,t}, \quad V_{tot,t} = V_{inv,t} + C_t</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(1)</w:t>
            </w:r>
          </w:p>
        </w:tc>
      </w:tr>
    </w:tbl>
    <w:p>
      <w:pPr>
        <w:spacing w:before="0" w:after="70" w:line="252" w:lineRule="auto"/>
        <w:jc w:val="both"/>
      </w:pPr>
      <w:r>
        <w:rPr>
          <w:rFonts w:ascii="Times New Roman" w:hAnsi="Times New Roman"/>
          <w:b w:val="0"/>
          <w:i w:val="0"/>
          <w:color w:val="0F0F0F"/>
          <w:sz w:val="19"/>
        </w:rPr>
        <w:t>Each asset possesses a user-defined target weight wi* in percentage points, where ∑ wi* &lt;= 100%. The realized allocation weight wi,t is given by:</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w_{i,t} = (q_{i,t} P_{i,t} / V_{inv,t}) \times 100</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(2)</w:t>
            </w:r>
          </w:p>
        </w:tc>
      </w:tr>
    </w:tbl>
    <w:p>
      <w:pPr>
        <w:spacing w:before="0" w:after="70" w:line="252" w:lineRule="auto"/>
        <w:jc w:val="both"/>
      </w:pPr>
      <w:r>
        <w:rPr>
          <w:rFonts w:ascii="Times New Roman" w:hAnsi="Times New Roman"/>
          <w:b w:val="0"/>
          <w:i w:val="0"/>
          <w:color w:val="0F0F0F"/>
          <w:sz w:val="19"/>
        </w:rPr>
        <w:t>The signed allocation deviation for each asset is Di,t = wi,t - wi*. The aggregate portfolio drift index Δt represents the normalized L1 divergence across all holdings:</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\Delta_t = \frac{1}{2} \sum_{i=1}^n |w_{i,t} - w_i^*|</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(3)</w:t>
            </w:r>
          </w:p>
        </w:tc>
      </w:tr>
    </w:tbl>
    <w:p>
      <w:pPr>
        <w:keepNext/>
        <w:spacing w:before="90" w:after="30" w:line="252" w:lineRule="auto"/>
        <w:jc w:val="left"/>
      </w:pPr>
      <w:r>
        <w:rPr>
          <w:rFonts w:ascii="Times New Roman" w:hAnsi="Times New Roman"/>
          <w:b/>
          <w:i/>
          <w:color w:val="141414"/>
          <w:sz w:val="19"/>
        </w:rPr>
        <w:t>2.2  Corridor Trigger &amp; Capital Sizing Policy</w:t>
      </w:r>
    </w:p>
    <w:p>
      <w:pPr>
        <w:spacing w:before="0" w:after="70" w:line="252" w:lineRule="auto"/>
        <w:jc w:val="both"/>
      </w:pPr>
      <w:r>
        <w:rPr>
          <w:rFonts w:ascii="Times New Roman" w:hAnsi="Times New Roman"/>
          <w:b w:val="0"/>
          <w:i w:val="0"/>
          <w:color w:val="0F0F0F"/>
          <w:sz w:val="19"/>
        </w:rPr>
        <w:t>The WealthOS autonomous loop inspects portfolio compliance every τ = 25 seconds. A rebalancing action is triggered if and only if:</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\Delta_t &gt; \theta \quad \text{and} \quad C_t \ge C_{min}</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(4)</w:t>
            </w:r>
          </w:p>
        </w:tc>
      </w:tr>
    </w:tbl>
    <w:p>
      <w:pPr>
        <w:spacing w:before="0" w:after="70" w:line="252" w:lineRule="auto"/>
        <w:jc w:val="both"/>
      </w:pPr>
      <w:r>
        <w:rPr>
          <w:rFonts w:ascii="Times New Roman" w:hAnsi="Times New Roman"/>
          <w:b w:val="0"/>
          <w:i w:val="0"/>
          <w:color w:val="0F0F0F"/>
          <w:sz w:val="19"/>
        </w:rPr>
        <w:t>where θ = 0.40% denotes the empirical drift tolerance corridor and Cmin = ₹10 represents the minimum execution bound.</w:t>
      </w:r>
    </w:p>
    <w:p>
      <w:pPr>
        <w:spacing w:before="0" w:after="70" w:line="252" w:lineRule="auto"/>
        <w:jc w:val="both"/>
      </w:pPr>
      <w:r>
        <w:rPr>
          <w:rFonts w:ascii="Times New Roman" w:hAnsi="Times New Roman"/>
          <w:b w:val="0"/>
          <w:i w:val="0"/>
          <w:color w:val="0F0F0F"/>
          <w:sz w:val="19"/>
        </w:rPr>
        <w:t>When triggered, the system resolves the single asset exhibiting the largest negative deviation:</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i^* = \arg\min_{i \in \{1, \dots, n\}} D_{i,t}</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(5)</w:t>
            </w:r>
          </w:p>
        </w:tc>
      </w:tr>
    </w:tbl>
    <w:p>
      <w:pPr>
        <w:spacing w:before="0" w:after="70" w:line="252" w:lineRule="auto"/>
        <w:jc w:val="both"/>
      </w:pPr>
      <w:r>
        <w:rPr>
          <w:rFonts w:ascii="Times New Roman" w:hAnsi="Times New Roman"/>
          <w:b w:val="0"/>
          <w:i w:val="0"/>
          <w:color w:val="0F0F0F"/>
          <w:sz w:val="19"/>
        </w:rPr>
        <w:t>The capital required to restore asset i* to its target allocation is:</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G_{i^*,t} = ((w_{i^*}^* / 100) \times V_{tot,t}) - (q_{i^*,t} P_{i^*,t})</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(6)</w:t>
            </w:r>
          </w:p>
        </w:tc>
      </w:tr>
    </w:tbl>
    <w:p>
      <w:pPr>
        <w:spacing w:before="0" w:after="70" w:line="252" w:lineRule="auto"/>
        <w:jc w:val="both"/>
      </w:pPr>
      <w:r>
        <w:rPr>
          <w:rFonts w:ascii="Times New Roman" w:hAnsi="Times New Roman"/>
          <w:b w:val="0"/>
          <w:i w:val="0"/>
          <w:color w:val="0F0F0F"/>
          <w:sz w:val="19"/>
        </w:rPr>
        <w:t>To prevent rapid liquidity exhaustion, capital deployment At is bounded by:</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A_t = \max(1, \min(C_t, \max(0.25 C_t, G_{i^*,t})))</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(7)</w:t>
            </w:r>
          </w:p>
        </w:tc>
      </w:tr>
    </w:tbl>
    <w:p>
      <w:pPr>
        <w:spacing w:before="0" w:after="70" w:line="252" w:lineRule="auto"/>
        <w:jc w:val="both"/>
      </w:pPr>
      <w:r>
        <w:rPr>
          <w:rFonts w:ascii="Times New Roman" w:hAnsi="Times New Roman"/>
          <w:b w:val="0"/>
          <w:i w:val="0"/>
          <w:color w:val="0F0F0F"/>
          <w:sz w:val="19"/>
        </w:rPr>
        <w:t>The executed simulated buy order updates holding quantities and cash balance:</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q_{i^*, t+1} = q_{i^*, t} + (A_t / P_{i^*, t}), \quad C_{t+1} = C_t - A_t</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(8)</w:t>
            </w:r>
          </w:p>
        </w:tc>
      </w:tr>
    </w:tbl>
    <w:p>
      <w:pPr>
        <w:spacing w:before="100" w:after="20" w:line="252" w:lineRule="auto"/>
        <w:jc w:val="both"/>
      </w:pPr>
      <w:r>
        <w:rPr>
          <w:rFonts w:ascii="Times New Roman" w:hAnsi="Times New Roman"/>
          <w:b/>
          <w:i w:val="0"/>
          <w:color w:val="000000"/>
          <w:sz w:val="18"/>
        </w:rPr>
        <w:t>Algorithm 1: Autonomous Multi-Asset Corridor Rebalancing</w:t>
      </w:r>
    </w:p>
    <w:tbl>
      <w:tblPr>
        <w:tblW w:type="auto" w:w="0"/>
        <w:tblLayout w:type="fixed"/>
        <w:tblLook w:firstColumn="1" w:firstRow="1" w:lastColumn="0" w:lastRow="0" w:noHBand="0" w:noVBand="1" w:val="04A0"/>
      </w:tblPr>
      <w:tblGrid>
        <w:gridCol w:w="4680"/>
      </w:tblGrid>
      <w:tr>
        <w:tc>
          <w:tcPr>
            <w:tcW w:type="dxa" w:w="10368"/>
            <w:tcBorders>
              <w:top w:val="single" w:sz="6" w:space="0" w:color="000000"/>
              <w:bottom w:val="single" w:sz="6" w:space="0" w:color="000000"/>
              <w:left w:val="none"/>
              <w:right w:val="none"/>
            </w:tcBorders>
          </w:tcPr>
          <w:p>
            <w:pPr>
              <w:spacing w:before="40" w:after="40" w:line="252" w:lineRule="auto"/>
              <w:jc w:val="left"/>
            </w:pPr>
            <w:r>
              <w:rPr>
                <w:rFonts w:ascii="Courier New" w:hAnsi="Courier New"/>
                <w:b w:val="0"/>
                <w:i w:val="0"/>
                <w:color w:val="000000"/>
                <w:sz w:val="15"/>
              </w:rPr>
              <w:t>Input: Asset holdings {qi,t}, Spot prices {Pi,t}, Target weights {wi*}, Cash Ct</w:t>
              <w:br/>
              <w:t>Parameters: Corridor threshold θ = 0.40%, Min cash Cmin = ₹10, Interval τ = 25s</w:t>
              <w:br/>
              <w:t>1: loop every τ seconds:</w:t>
              <w:br/>
              <w:t>2:    Vinv,t ← ∑ qi,t Pi,t,   Vtot,t ← Vinv,t + Ct</w:t>
              <w:br/>
              <w:t>3:    for each asset i ∈ {1, ..., n} do</w:t>
              <w:br/>
              <w:t>4:       wi,t ← (qi,t Pi,t / Vinv,t) × 100</w:t>
              <w:br/>
              <w:t>5:       Di,t ← wi,t - wi*</w:t>
              <w:br/>
              <w:t>6:    Δt ← (1/2) ∑ |Di,t|</w:t>
              <w:br/>
              <w:t>7:    if Δt &gt; θ and Ct ≥ Cmin then</w:t>
              <w:br/>
              <w:t>8:       i* ← argmin Di,t</w:t>
              <w:br/>
              <w:t>9:       Gi*,t ← ((wi** / 100) × Vtot,t) - (qi*,t Pi*,t)</w:t>
              <w:br/>
              <w:t>10:      At ← max(1, min(Ct, max(0.25 Ct, Gi*,t)))</w:t>
              <w:br/>
              <w:t>11:      qi*,t+1 ← qi*,t + (At / Pi*,t),   Ct+1 ← Ct - At</w:t>
              <w:br/>
              <w:t>12:      Append transaction record to local audit ledger</w:t>
              <w:br/>
              <w:t>13:   end if</w:t>
              <w:br/>
              <w:t>14: end loop</w:t>
            </w:r>
          </w:p>
        </w:tc>
      </w:tr>
    </w:tbl>
    <w:p>
      <w:pPr>
        <w:keepNext/>
        <w:spacing w:before="90" w:after="30" w:line="252" w:lineRule="auto"/>
        <w:jc w:val="left"/>
      </w:pPr>
      <w:r>
        <w:rPr>
          <w:rFonts w:ascii="Times New Roman" w:hAnsi="Times New Roman"/>
          <w:b/>
          <w:i/>
          <w:color w:val="141414"/>
          <w:sz w:val="19"/>
        </w:rPr>
        <w:t>2.3  Separation of Compute Concerns</w:t>
      </w:r>
    </w:p>
    <w:p>
      <w:pPr>
        <w:spacing w:before="0" w:after="70" w:line="252" w:lineRule="auto"/>
        <w:jc w:val="both"/>
      </w:pPr>
      <w:r>
        <w:rPr>
          <w:rFonts w:ascii="Times New Roman" w:hAnsi="Times New Roman"/>
          <w:b w:val="0"/>
          <w:i w:val="0"/>
          <w:color w:val="0F0F0F"/>
          <w:sz w:val="19"/>
        </w:rPr>
        <w:t>A foundational tenet of WealthOS is the separation between deterministic execution and qualitative AI reasoning. Portfolio evaluation, drift tracking, and capital sizing execute exclusively via client-side TypeScript mathematics, ensuring microsecond execution latency without cloud dependencies. Narrative AI reasoning operates asynchronously as decision support: when an intervention occurs, the AI model consumes the pre-computed mathematical state to generate structured user explanations ('Decision Rationale'), ensuring that LLM latency or network failures never impede core portfolio safety.</w:t>
      </w:r>
    </w:p>
    <w:p>
      <w:pPr>
        <w:keepNext/>
        <w:spacing w:before="140" w:after="40" w:line="252" w:lineRule="auto"/>
        <w:jc w:val="left"/>
      </w:pPr>
      <w:r>
        <w:rPr>
          <w:rFonts w:ascii="Times New Roman" w:hAnsi="Times New Roman"/>
          <w:b/>
          <w:i w:val="0"/>
          <w:color w:val="000000"/>
          <w:sz w:val="20"/>
        </w:rPr>
        <w:t>3  Empirical Results</w:t>
      </w:r>
    </w:p>
    <w:p>
      <w:pPr>
        <w:spacing w:before="0" w:after="70" w:line="252" w:lineRule="auto"/>
        <w:jc w:val="both"/>
      </w:pPr>
      <w:r>
        <w:rPr>
          <w:rFonts w:ascii="Times New Roman" w:hAnsi="Times New Roman"/>
          <w:b w:val="0"/>
          <w:i w:val="0"/>
          <w:color w:val="0F0F0F"/>
          <w:sz w:val="19"/>
        </w:rPr>
        <w:t>To rigorously evaluate WealthOS, we simulated continuous multi-asset market trajectories using a calibrated discrete-time Geometric Brownian Motion (GBM) model over a 30-day continuous horizon (43,200 observation ticks). Volatility parameters were calibrated to empirical asset class figures: Metals (MCX: σ = 0.010–0.015), Indian Equities (NSE: σ = 0.013–0.016), Mutual Funds (BSE: σ = 0.006–0.009), and Cryptocurrencies (Binance: σ = 0.035–0.050). Annualized market drift was set to 12.0% p.a., with an initial portfolio net worth of ₹8,54,652 (₹8,04,652 invested, ₹50,000 cash).</w:t>
      </w:r>
    </w:p>
    <w:tbl>
      <w:tblPr>
        <w:tblW w:type="auto" w:w="0"/>
        <w:tblLayout w:type="fixed"/>
        <w:tblLook w:firstColumn="1" w:firstRow="1" w:lastColumn="0" w:lastRow="0" w:noHBand="0" w:noVBand="1" w:val="04A0"/>
      </w:tblPr>
      <w:tblGrid>
        <w:gridCol w:w="1728"/>
        <w:gridCol w:w="1728"/>
        <w:gridCol w:w="1728"/>
        <w:gridCol w:w="1728"/>
        <w:gridCol w:w="1728"/>
        <w:gridCol w:w="1728"/>
      </w:tblGrid>
      <w:tr>
        <w:tc>
          <w:tcPr>
            <w:tcW w:type="dxa" w:w="1728"/>
            <w:shd w:fill="F1F5F9"/>
            <w:tcBorders>
              <w:top w:val="single" w:sz="6" w:space="0" w:color="000000"/>
              <w:bottom w:val="single" w:sz="6" w:space="0" w:color="000000"/>
              <w:left w:val="none"/>
              <w:right w:val="none"/>
            </w:tcBorders>
          </w:tcPr>
          <w:p>
            <w:pPr>
              <w:spacing w:before="40" w:after="40" w:line="252" w:lineRule="auto"/>
              <w:jc w:val="center"/>
            </w:pPr>
            <w:r>
              <w:rPr>
                <w:rFonts w:ascii="Times New Roman" w:hAnsi="Times New Roman"/>
                <w:b/>
                <w:i w:val="0"/>
                <w:color w:val="000000"/>
                <w:sz w:val="15"/>
              </w:rPr>
              <w:t>Strategy</w:t>
            </w:r>
          </w:p>
        </w:tc>
        <w:tc>
          <w:tcPr>
            <w:tcW w:type="dxa" w:w="1728"/>
            <w:shd w:fill="F1F5F9"/>
            <w:tcBorders>
              <w:top w:val="single" w:sz="6" w:space="0" w:color="000000"/>
              <w:bottom w:val="single" w:sz="6" w:space="0" w:color="000000"/>
              <w:left w:val="none"/>
              <w:right w:val="none"/>
            </w:tcBorders>
          </w:tcPr>
          <w:p>
            <w:pPr>
              <w:spacing w:before="40" w:after="40" w:line="252" w:lineRule="auto"/>
              <w:jc w:val="center"/>
            </w:pPr>
            <w:r>
              <w:rPr>
                <w:rFonts w:ascii="Times New Roman" w:hAnsi="Times New Roman"/>
                <w:b/>
                <w:i w:val="0"/>
                <w:color w:val="000000"/>
                <w:sz w:val="15"/>
              </w:rPr>
              <w:t>Mean Drift</w:t>
            </w:r>
          </w:p>
        </w:tc>
        <w:tc>
          <w:tcPr>
            <w:tcW w:type="dxa" w:w="1728"/>
            <w:shd w:fill="F1F5F9"/>
            <w:tcBorders>
              <w:top w:val="single" w:sz="6" w:space="0" w:color="000000"/>
              <w:bottom w:val="single" w:sz="6" w:space="0" w:color="000000"/>
              <w:left w:val="none"/>
              <w:right w:val="none"/>
            </w:tcBorders>
          </w:tcPr>
          <w:p>
            <w:pPr>
              <w:spacing w:before="40" w:after="40" w:line="252" w:lineRule="auto"/>
              <w:jc w:val="center"/>
            </w:pPr>
            <w:r>
              <w:rPr>
                <w:rFonts w:ascii="Times New Roman" w:hAnsi="Times New Roman"/>
                <w:b/>
                <w:i w:val="0"/>
                <w:color w:val="000000"/>
                <w:sz w:val="15"/>
              </w:rPr>
              <w:t>Max Peak</w:t>
            </w:r>
          </w:p>
        </w:tc>
        <w:tc>
          <w:tcPr>
            <w:tcW w:type="dxa" w:w="1728"/>
            <w:shd w:fill="F1F5F9"/>
            <w:tcBorders>
              <w:top w:val="single" w:sz="6" w:space="0" w:color="000000"/>
              <w:bottom w:val="single" w:sz="6" w:space="0" w:color="000000"/>
              <w:left w:val="none"/>
              <w:right w:val="none"/>
            </w:tcBorders>
          </w:tcPr>
          <w:p>
            <w:pPr>
              <w:spacing w:before="40" w:after="40" w:line="252" w:lineRule="auto"/>
              <w:jc w:val="center"/>
            </w:pPr>
            <w:r>
              <w:rPr>
                <w:rFonts w:ascii="Times New Roman" w:hAnsi="Times New Roman"/>
                <w:b/>
                <w:i w:val="0"/>
                <w:color w:val="000000"/>
                <w:sz w:val="15"/>
              </w:rPr>
              <w:t>Sharpe</w:t>
            </w:r>
          </w:p>
        </w:tc>
        <w:tc>
          <w:tcPr>
            <w:tcW w:type="dxa" w:w="1728"/>
            <w:shd w:fill="F1F5F9"/>
            <w:tcBorders>
              <w:top w:val="single" w:sz="6" w:space="0" w:color="000000"/>
              <w:bottom w:val="single" w:sz="6" w:space="0" w:color="000000"/>
              <w:left w:val="none"/>
              <w:right w:val="none"/>
            </w:tcBorders>
          </w:tcPr>
          <w:p>
            <w:pPr>
              <w:spacing w:before="40" w:after="40" w:line="252" w:lineRule="auto"/>
              <w:jc w:val="center"/>
            </w:pPr>
            <w:r>
              <w:rPr>
                <w:rFonts w:ascii="Times New Roman" w:hAnsi="Times New Roman"/>
                <w:b/>
                <w:i w:val="0"/>
                <w:color w:val="000000"/>
                <w:sz w:val="15"/>
              </w:rPr>
              <w:t>MDD</w:t>
            </w:r>
          </w:p>
        </w:tc>
        <w:tc>
          <w:tcPr>
            <w:tcW w:type="dxa" w:w="1728"/>
            <w:shd w:fill="F1F5F9"/>
            <w:tcBorders>
              <w:top w:val="single" w:sz="6" w:space="0" w:color="000000"/>
              <w:bottom w:val="single" w:sz="6" w:space="0" w:color="000000"/>
              <w:left w:val="none"/>
              <w:right w:val="none"/>
            </w:tcBorders>
          </w:tcPr>
          <w:p>
            <w:pPr>
              <w:spacing w:before="40" w:after="40" w:line="252" w:lineRule="auto"/>
              <w:jc w:val="center"/>
            </w:pPr>
            <w:r>
              <w:rPr>
                <w:rFonts w:ascii="Times New Roman" w:hAnsi="Times New Roman"/>
                <w:b/>
                <w:i w:val="0"/>
                <w:color w:val="000000"/>
                <w:sz w:val="15"/>
              </w:rPr>
              <w:t>Trades</w:t>
            </w:r>
          </w:p>
        </w:tc>
      </w:tr>
      <w:tr>
        <w:tc>
          <w:tcPr>
            <w:tcW w:type="dxa" w:w="1728"/>
            <w:tcBorders>
              <w:top w:val="none"/>
              <w:bottom w:val="single" w:sz="3" w:space="0" w:color="E2E8F0"/>
              <w:left w:val="none"/>
              <w:right w:val="none"/>
            </w:tcBorders>
          </w:tcPr>
          <w:p>
            <w:pPr>
              <w:spacing w:before="20" w:after="20" w:line="252" w:lineRule="auto"/>
              <w:jc w:val="left"/>
            </w:pPr>
            <w:r>
              <w:rPr>
                <w:rFonts w:ascii="Times New Roman" w:hAnsi="Times New Roman"/>
                <w:b w:val="0"/>
                <w:i w:val="0"/>
                <w:color w:val="000000"/>
                <w:sz w:val="15"/>
              </w:rPr>
              <w:t>Buy-and-Hold</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8.12%</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9.39%</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0.77</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2.63%</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0</w:t>
            </w:r>
          </w:p>
        </w:tc>
      </w:tr>
      <w:tr>
        <w:tc>
          <w:tcPr>
            <w:tcW w:type="dxa" w:w="1728"/>
            <w:tcBorders>
              <w:top w:val="none"/>
              <w:bottom w:val="single" w:sz="3" w:space="0" w:color="E2E8F0"/>
              <w:left w:val="none"/>
              <w:right w:val="none"/>
            </w:tcBorders>
          </w:tcPr>
          <w:p>
            <w:pPr>
              <w:spacing w:before="20" w:after="20" w:line="252" w:lineRule="auto"/>
              <w:jc w:val="left"/>
            </w:pPr>
            <w:r>
              <w:rPr>
                <w:rFonts w:ascii="Times New Roman" w:hAnsi="Times New Roman"/>
                <w:b w:val="0"/>
                <w:i w:val="0"/>
                <w:color w:val="000000"/>
                <w:sz w:val="15"/>
              </w:rPr>
              <w:t>Periodic (30-Day)</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8.12%</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9.39%</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0.77</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2.63%</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0</w:t>
            </w:r>
          </w:p>
        </w:tc>
      </w:tr>
      <w:tr>
        <w:tc>
          <w:tcPr>
            <w:tcW w:type="dxa" w:w="1728"/>
            <w:tcBorders>
              <w:top w:val="none"/>
              <w:bottom w:val="single" w:sz="3" w:space="0" w:color="E2E8F0"/>
              <w:left w:val="none"/>
              <w:right w:val="none"/>
            </w:tcBorders>
          </w:tcPr>
          <w:p>
            <w:pPr>
              <w:spacing w:before="20" w:after="20" w:line="252" w:lineRule="auto"/>
              <w:jc w:val="left"/>
            </w:pPr>
            <w:r>
              <w:rPr>
                <w:rFonts w:ascii="Times New Roman" w:hAnsi="Times New Roman"/>
                <w:b w:val="0"/>
                <w:i w:val="0"/>
                <w:color w:val="000000"/>
                <w:sz w:val="15"/>
              </w:rPr>
              <w:t>Periodic (7-Day)</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2.60%</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7.39%</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0.43</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2.90%</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55</w:t>
            </w:r>
          </w:p>
        </w:tc>
      </w:tr>
      <w:tr>
        <w:tc>
          <w:tcPr>
            <w:tcW w:type="dxa" w:w="1728"/>
            <w:tcBorders>
              <w:top w:val="none"/>
              <w:bottom w:val="single" w:sz="3" w:space="0" w:color="E2E8F0"/>
              <w:left w:val="none"/>
              <w:right w:val="none"/>
            </w:tcBorders>
          </w:tcPr>
          <w:p>
            <w:pPr>
              <w:spacing w:before="20" w:after="20" w:line="252" w:lineRule="auto"/>
              <w:jc w:val="left"/>
            </w:pPr>
            <w:r>
              <w:rPr>
                <w:rFonts w:ascii="Times New Roman" w:hAnsi="Times New Roman"/>
                <w:b w:val="0"/>
                <w:i w:val="0"/>
                <w:color w:val="000000"/>
                <w:sz w:val="15"/>
              </w:rPr>
              <w:t>WealthOS Cash-Only</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5.70%</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7.28%</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0.83</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2.84%</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val="0"/>
                <w:i w:val="0"/>
                <w:color w:val="000000"/>
                <w:sz w:val="15"/>
              </w:rPr>
              <w:t>3</w:t>
            </w:r>
          </w:p>
        </w:tc>
      </w:tr>
      <w:tr>
        <w:tc>
          <w:tcPr>
            <w:tcW w:type="dxa" w:w="1728"/>
            <w:tcBorders>
              <w:top w:val="none"/>
              <w:bottom w:val="single" w:sz="3" w:space="0" w:color="E2E8F0"/>
              <w:left w:val="none"/>
              <w:right w:val="none"/>
            </w:tcBorders>
          </w:tcPr>
          <w:p>
            <w:pPr>
              <w:spacing w:before="20" w:after="20" w:line="252" w:lineRule="auto"/>
              <w:jc w:val="left"/>
            </w:pPr>
            <w:r>
              <w:rPr>
                <w:rFonts w:ascii="Times New Roman" w:hAnsi="Times New Roman"/>
                <w:b/>
                <w:i w:val="0"/>
                <w:color w:val="000000"/>
                <w:sz w:val="15"/>
              </w:rPr>
              <w:t>WealthOS Full (Two-Way)</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i w:val="0"/>
                <w:color w:val="000000"/>
                <w:sz w:val="15"/>
              </w:rPr>
              <w:t>1.17%</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i w:val="0"/>
                <w:color w:val="000000"/>
                <w:sz w:val="15"/>
              </w:rPr>
              <w:t>6.37%</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i w:val="0"/>
                <w:color w:val="000000"/>
                <w:sz w:val="15"/>
              </w:rPr>
              <w:t>0.32</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i w:val="0"/>
                <w:color w:val="000000"/>
                <w:sz w:val="15"/>
              </w:rPr>
              <w:t>3.28%</w:t>
            </w:r>
          </w:p>
        </w:tc>
        <w:tc>
          <w:tcPr>
            <w:tcW w:type="dxa" w:w="1728"/>
            <w:tcBorders>
              <w:top w:val="none"/>
              <w:bottom w:val="single" w:sz="3" w:space="0" w:color="E2E8F0"/>
              <w:left w:val="none"/>
              <w:right w:val="none"/>
            </w:tcBorders>
          </w:tcPr>
          <w:p>
            <w:pPr>
              <w:spacing w:before="20" w:after="20" w:line="252" w:lineRule="auto"/>
              <w:jc w:val="center"/>
            </w:pPr>
            <w:r>
              <w:rPr>
                <w:rFonts w:ascii="Times New Roman" w:hAnsi="Times New Roman"/>
                <w:b/>
                <w:i w:val="0"/>
                <w:color w:val="000000"/>
                <w:sz w:val="15"/>
              </w:rPr>
              <w:t>71</w:t>
            </w:r>
          </w:p>
        </w:tc>
      </w:tr>
    </w:tbl>
    <w:p>
      <w:pPr>
        <w:spacing w:before="40" w:after="100" w:line="252" w:lineRule="auto"/>
        <w:jc w:val="center"/>
      </w:pPr>
      <w:r>
        <w:rPr>
          <w:rFonts w:ascii="Times New Roman" w:hAnsi="Times New Roman"/>
          <w:b w:val="0"/>
          <w:i/>
          <w:color w:val="000000"/>
          <w:sz w:val="16"/>
        </w:rPr>
        <w:t>Table 1: Comparative Performance Benchmark (30-Day Horizon, 43,200 Ticks)</w:t>
      </w:r>
    </w:p>
    <w:p>
      <w:pPr>
        <w:spacing w:before="0" w:after="70" w:line="252" w:lineRule="auto"/>
        <w:jc w:val="both"/>
      </w:pPr>
      <w:r>
        <w:rPr>
          <w:rFonts w:ascii="Times New Roman" w:hAnsi="Times New Roman"/>
          <w:b w:val="0"/>
          <w:i w:val="0"/>
          <w:color w:val="0F0F0F"/>
          <w:sz w:val="19"/>
        </w:rPr>
        <w:t>As recorded in Table 1, the unmanaged Static Buy-and-Hold portfolio suffered continuous allocation drift, averaging 8.12% and peaking at 9.39% due to cryptocurrency expansion. The 30-Day Periodic schedule exhibited identical drift, proving that monthly reviews leave retail portfolios unmanaged during interim volatility shocks. In contrast, WealthOS Full Two-Way Corridor constrained mean drift to 1.17%, achieving an 85.6% reduction in allocation skew relative to unmanaged holdings.</w:t>
      </w:r>
    </w:p>
    <w:p>
      <w:pPr>
        <w:keepNext/>
        <w:spacing w:before="140" w:after="40" w:line="252" w:lineRule="auto"/>
        <w:jc w:val="left"/>
      </w:pPr>
      <w:r>
        <w:rPr>
          <w:rFonts w:ascii="Times New Roman" w:hAnsi="Times New Roman"/>
          <w:b/>
          <w:i w:val="0"/>
          <w:color w:val="000000"/>
          <w:sz w:val="20"/>
        </w:rPr>
        <w:t>4  Discussions</w:t>
      </w:r>
    </w:p>
    <w:p>
      <w:pPr>
        <w:keepNext/>
        <w:spacing w:before="90" w:after="30" w:line="252" w:lineRule="auto"/>
        <w:jc w:val="left"/>
      </w:pPr>
      <w:r>
        <w:rPr>
          <w:rFonts w:ascii="Times New Roman" w:hAnsi="Times New Roman"/>
          <w:b/>
          <w:i/>
          <w:color w:val="141414"/>
          <w:sz w:val="19"/>
        </w:rPr>
        <w:t>4.1  Threshold Sensitivity &amp; Turnover Dynamics</w:t>
      </w:r>
    </w:p>
    <w:p>
      <w:pPr>
        <w:spacing w:before="0" w:after="70" w:line="252" w:lineRule="auto"/>
        <w:jc w:val="both"/>
      </w:pPr>
      <w:r>
        <w:rPr>
          <w:rFonts w:ascii="Times New Roman" w:hAnsi="Times New Roman"/>
          <w:b w:val="0"/>
          <w:i w:val="0"/>
          <w:color w:val="0F0F0F"/>
          <w:sz w:val="19"/>
        </w:rPr>
        <w:t>We conducted an empirical sensitivity sweep over θ ∈ [0.10%, 2.00%]. Setting θ = 0.10% resulted in near-zero drift (0.34%), but incurred 955 trades (31.8 trades/day), creating excessive transaction costs in live markets. Conversely, thresholds θ ≥ 1.00% permitted mean drift to exceed 3.20%. Setting θ = 0.40% achieved the optimal Pareto frontier: capturing 85.6% drift reduction with only 71 total trades across 30 days (2.37 trades/day).</w:t>
      </w:r>
    </w:p>
    <w:p>
      <w:pPr>
        <w:keepNext/>
        <w:spacing w:before="90" w:after="30" w:line="252" w:lineRule="auto"/>
        <w:jc w:val="left"/>
      </w:pPr>
      <w:r>
        <w:rPr>
          <w:rFonts w:ascii="Times New Roman" w:hAnsi="Times New Roman"/>
          <w:b/>
          <w:i/>
          <w:color w:val="141414"/>
          <w:sz w:val="19"/>
        </w:rPr>
        <w:t>4.2  Cash-Inflow vs. Two-Way Rebalancing Ablation</w:t>
      </w:r>
    </w:p>
    <w:p>
      <w:pPr>
        <w:spacing w:before="0" w:after="70" w:line="252" w:lineRule="auto"/>
        <w:jc w:val="both"/>
      </w:pPr>
      <w:r>
        <w:rPr>
          <w:rFonts w:ascii="Times New Roman" w:hAnsi="Times New Roman"/>
          <w:b w:val="0"/>
          <w:i w:val="0"/>
          <w:color w:val="0F0F0F"/>
          <w:sz w:val="19"/>
        </w:rPr>
        <w:t>The ablation experiment in Table 1 highlights a critical operational boundary: in the cash-inflow mode (WealthOS Cash-Only), the initial cash buffer was exhausted after 3 trades, halting further rebalancing and capping drift reduction at 29.8%. This proves that buy-only automated rebalancing requires either recurring retail deposits (SIP) or two-way rebalancing capabilities (trimming over-weighted assets to replenish cash).</w:t>
      </w:r>
    </w:p>
    <w:p>
      <w:pPr>
        <w:keepNext/>
        <w:spacing w:before="90" w:after="30" w:line="252" w:lineRule="auto"/>
        <w:jc w:val="left"/>
      </w:pPr>
      <w:r>
        <w:rPr>
          <w:rFonts w:ascii="Times New Roman" w:hAnsi="Times New Roman"/>
          <w:b/>
          <w:i/>
          <w:color w:val="141414"/>
          <w:sz w:val="19"/>
        </w:rPr>
        <w:t>4.3  Computational Latency Benchmarking</w:t>
      </w:r>
    </w:p>
    <w:p>
      <w:pPr>
        <w:spacing w:before="0" w:after="70" w:line="252" w:lineRule="auto"/>
        <w:jc w:val="both"/>
      </w:pPr>
      <w:r>
        <w:rPr>
          <w:rFonts w:ascii="Times New Roman" w:hAnsi="Times New Roman"/>
          <w:b w:val="0"/>
          <w:i w:val="0"/>
          <w:color w:val="0F0F0F"/>
          <w:sz w:val="19"/>
        </w:rPr>
        <w:t>Benchmarking across N = 10,000 evaluations demonstrated that the deterministic mathematical engine evaluates in 0.0084 milliseconds (P50 = 0.0072 ms, P99 = 0.0161 ms), consuming negligible CPU resources. In-memory state updates in React 19 execute in under 1.50 ms, validating the real-time suitability of client-side execution.</w:t>
      </w:r>
    </w:p>
    <w:p>
      <w:pPr>
        <w:keepNext/>
        <w:spacing w:before="140" w:after="40" w:line="252" w:lineRule="auto"/>
        <w:jc w:val="left"/>
      </w:pPr>
      <w:r>
        <w:rPr>
          <w:rFonts w:ascii="Times New Roman" w:hAnsi="Times New Roman"/>
          <w:b/>
          <w:i w:val="0"/>
          <w:color w:val="000000"/>
          <w:sz w:val="20"/>
        </w:rPr>
        <w:t>5  Related Works</w:t>
      </w:r>
    </w:p>
    <w:p>
      <w:pPr>
        <w:spacing w:before="0" w:after="70" w:line="252" w:lineRule="auto"/>
        <w:jc w:val="both"/>
      </w:pPr>
      <w:r>
        <w:rPr>
          <w:rFonts w:ascii="Times New Roman" w:hAnsi="Times New Roman"/>
          <w:b w:val="0"/>
          <w:i w:val="0"/>
          <w:color w:val="0F0F0F"/>
          <w:sz w:val="19"/>
        </w:rPr>
        <w:t>Our work is related to dynamic portfolio theory, robo-advisors, and financial language models. Markowitz [1] and Sharpe [2] formalized mean-variance optimization. Masters [5] proved that corridor rebalancing outperforms calendar schedules. D'Acunto et al. [6] examined retail robo-advising, noting its capacity to mitigate behavioral biases. Jung et al. [8] showed that algorithmic transparency is essential for investor trust. Recent financial LLMs, such as BloombergGPT [9] and FinGPT [10], have demonstrated strong domain reasoning but rely on centralized cloud inference. WealthOS differentiates itself by executing deterministic mathematical balancing entirely on the client, utilizing on-device LLMs ([14, 15]) for explainability without cloud data exposure.</w:t>
      </w:r>
    </w:p>
    <w:p>
      <w:pPr>
        <w:keepNext/>
        <w:spacing w:before="140" w:after="40" w:line="252" w:lineRule="auto"/>
        <w:jc w:val="left"/>
      </w:pPr>
      <w:r>
        <w:rPr>
          <w:rFonts w:ascii="Times New Roman" w:hAnsi="Times New Roman"/>
          <w:b/>
          <w:i w:val="0"/>
          <w:color w:val="000000"/>
          <w:sz w:val="20"/>
        </w:rPr>
        <w:t>6  Conclusion</w:t>
      </w:r>
    </w:p>
    <w:p>
      <w:pPr>
        <w:spacing w:before="0" w:after="70" w:line="252" w:lineRule="auto"/>
        <w:jc w:val="both"/>
      </w:pPr>
      <w:r>
        <w:rPr>
          <w:rFonts w:ascii="Times New Roman" w:hAnsi="Times New Roman"/>
          <w:b w:val="0"/>
          <w:i w:val="0"/>
          <w:color w:val="0F0F0F"/>
          <w:sz w:val="19"/>
        </w:rPr>
        <w:t>We have presented WealthOS, an autonomous, privacy-preserving portfolio rebalancing framework for Indian retail investors. By unifying real-time telemetry across equities, mutual funds, commodities, and crypto with a deterministic corridor rebalancing engine (θ = 0.40%), WealthOS achieves an 85.6% drift reduction with 0.0084 ms execution latency. Client-side state persistence ensures complete financial privacy. Future work will investigate live broker API integration (Zerodha Kite Connect), dynamic volatility-adaptive corridors, and edge desktop background daemons.</w:t>
      </w:r>
    </w:p>
    <w:p>
      <w:pPr>
        <w:keepNext/>
        <w:spacing w:before="90" w:after="30" w:line="252" w:lineRule="auto"/>
        <w:jc w:val="left"/>
      </w:pPr>
      <w:r>
        <w:rPr>
          <w:rFonts w:ascii="Times New Roman" w:hAnsi="Times New Roman"/>
          <w:b/>
          <w:i/>
          <w:color w:val="141414"/>
          <w:sz w:val="19"/>
        </w:rPr>
        <w:t>A  Implementation &amp; Evaluation Metrics</w:t>
      </w:r>
    </w:p>
    <w:p>
      <w:pPr>
        <w:spacing w:before="0" w:after="70" w:line="252" w:lineRule="auto"/>
        <w:jc w:val="both"/>
      </w:pPr>
      <w:r>
        <w:rPr>
          <w:rFonts w:ascii="Times New Roman" w:hAnsi="Times New Roman"/>
          <w:b w:val="0"/>
          <w:i w:val="0"/>
          <w:color w:val="0F0F0F"/>
          <w:sz w:val="19"/>
        </w:rPr>
        <w:t>To comply with quantitative portfolio standards ([49, 53]), the daily turnover rate is evaluated as:</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\text{Turnover} = \frac{1}{N-1} \sum_{i=0}^{N-2} \sum_{j=1}^n \frac{|v_{i+1}^j - v_{i+}^j|}{W_{i+1}}</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(A.1)</w:t>
            </w:r>
          </w:p>
        </w:tc>
      </w:tr>
    </w:tbl>
    <w:p>
      <w:pPr>
        <w:spacing w:before="0" w:after="70" w:line="252" w:lineRule="auto"/>
        <w:jc w:val="both"/>
      </w:pPr>
      <w:r>
        <w:rPr>
          <w:rFonts w:ascii="Times New Roman" w:hAnsi="Times New Roman"/>
          <w:b w:val="0"/>
          <w:i w:val="0"/>
          <w:color w:val="0F0F0F"/>
          <w:sz w:val="19"/>
        </w:rPr>
        <w:t>where vi+1^j denotes the capital allocated to asset j at rebalance step i+1, and vi+^j is the holding value immediately prior to rebalancing. Transaction costs assume a standard retail fee rate of c = 5 basis points. Maximum drawdown is evaluated as:</w:t>
      </w:r>
    </w:p>
    <w:tbl>
      <w:tblPr>
        <w:tblW w:type="auto" w:w="0"/>
        <w:tblLayout w:type="fixed"/>
        <w:tblLook w:firstColumn="1" w:firstRow="1" w:lastColumn="0" w:lastRow="0" w:noHBand="0" w:noVBand="1" w:val="04A0"/>
      </w:tblPr>
      <w:tblGrid>
        <w:gridCol w:w="4104"/>
        <w:gridCol w:w="576"/>
      </w:tblGrid>
      <w:tr>
        <w:tc>
          <w:tcPr>
            <w:tcW w:type="dxa" w:w="5184"/>
            <w:tcBorders>
              <w:top w:val="none"/>
              <w:bottom w:val="none"/>
              <w:left w:val="none"/>
              <w:right w:val="none"/>
            </w:tcBorders>
          </w:tcPr>
          <w:p>
            <w:pPr>
              <w:spacing w:before="40" w:after="40" w:line="252" w:lineRule="auto"/>
              <w:jc w:val="center"/>
            </w:pPr>
            <w:r>
              <w:rPr>
                <w:rFonts w:ascii="Times New Roman" w:hAnsi="Times New Roman"/>
                <w:b w:val="0"/>
                <w:i/>
                <w:color w:val="000000"/>
                <w:sz w:val="19"/>
              </w:rPr>
              <w:t>\text{MDD} = \max_{0 \le i_1 \le i_2 \le N-1} \frac{W_{i_1} - W_{i_2}}{W_{i_1}}</w:t>
            </w:r>
          </w:p>
        </w:tc>
        <w:tc>
          <w:tcPr>
            <w:tcW w:type="dxa" w:w="5184"/>
            <w:tcBorders>
              <w:top w:val="none"/>
              <w:bottom w:val="none"/>
              <w:left w:val="none"/>
              <w:right w:val="none"/>
            </w:tcBorders>
          </w:tcPr>
          <w:p>
            <w:pPr>
              <w:spacing w:before="40" w:after="40" w:line="252" w:lineRule="auto"/>
              <w:jc w:val="right"/>
            </w:pPr>
            <w:r>
              <w:rPr>
                <w:rFonts w:ascii="Times New Roman" w:hAnsi="Times New Roman"/>
                <w:b w:val="0"/>
                <w:i w:val="0"/>
                <w:color w:val="000000"/>
                <w:sz w:val="19"/>
              </w:rPr>
              <w:t>(A.2)</w:t>
            </w:r>
          </w:p>
        </w:tc>
      </w:tr>
    </w:tbl>
    <w:p>
      <w:pPr>
        <w:keepNext/>
        <w:spacing w:before="140" w:after="40" w:line="252" w:lineRule="auto"/>
        <w:jc w:val="left"/>
      </w:pPr>
      <w:r>
        <w:rPr>
          <w:rFonts w:ascii="Times New Roman" w:hAnsi="Times New Roman"/>
          <w:b/>
          <w:i w:val="0"/>
          <w:color w:val="000000"/>
          <w:sz w:val="20"/>
        </w:rPr>
        <w:t xml:space="preserve">References  </w:t>
      </w:r>
    </w:p>
    <w:p>
      <w:pPr>
        <w:spacing w:before="20" w:after="30" w:line="252" w:lineRule="auto"/>
        <w:jc w:val="both"/>
      </w:pPr>
      <w:r>
        <w:rPr>
          <w:rFonts w:ascii="Times New Roman" w:hAnsi="Times New Roman"/>
          <w:b w:val="0"/>
          <w:i w:val="0"/>
          <w:color w:val="000000"/>
          <w:sz w:val="15"/>
        </w:rPr>
        <w:t>[1] H. Markowitz, 'Portfolio selection,' The Journal of Finance, vol. 7, no. 1, pp. 77–91, 1952.</w:t>
      </w:r>
    </w:p>
    <w:p>
      <w:pPr>
        <w:spacing w:before="20" w:after="30" w:line="252" w:lineRule="auto"/>
        <w:jc w:val="both"/>
      </w:pPr>
      <w:r>
        <w:rPr>
          <w:rFonts w:ascii="Times New Roman" w:hAnsi="Times New Roman"/>
          <w:b w:val="0"/>
          <w:i w:val="0"/>
          <w:color w:val="000000"/>
          <w:sz w:val="15"/>
        </w:rPr>
        <w:t>[2] W. F. Sharpe, 'Capital asset prices,' The Journal of Finance, vol. 19, no. 3, pp. 425–442, 1964.</w:t>
      </w:r>
    </w:p>
    <w:p>
      <w:pPr>
        <w:spacing w:before="20" w:after="30" w:line="252" w:lineRule="auto"/>
        <w:jc w:val="both"/>
      </w:pPr>
      <w:r>
        <w:rPr>
          <w:rFonts w:ascii="Times New Roman" w:hAnsi="Times New Roman"/>
          <w:b w:val="0"/>
          <w:i w:val="0"/>
          <w:color w:val="000000"/>
          <w:sz w:val="15"/>
        </w:rPr>
        <w:t>[3] M. Lopez de Prado, Machine Learning for Asset Managers, Cambridge University Press, 2020.</w:t>
      </w:r>
    </w:p>
    <w:p>
      <w:pPr>
        <w:spacing w:before="20" w:after="30" w:line="252" w:lineRule="auto"/>
        <w:jc w:val="both"/>
      </w:pPr>
      <w:r>
        <w:rPr>
          <w:rFonts w:ascii="Times New Roman" w:hAnsi="Times New Roman"/>
          <w:b w:val="0"/>
          <w:i w:val="0"/>
          <w:color w:val="000000"/>
          <w:sz w:val="15"/>
        </w:rPr>
        <w:t>[4] R. C. Merton, 'Optimum consumption and portfolio rules,' J. Econ. Theory, vol. 3, no. 4, pp. 373–413, 1971.</w:t>
      </w:r>
    </w:p>
    <w:p>
      <w:pPr>
        <w:spacing w:before="20" w:after="30" w:line="252" w:lineRule="auto"/>
        <w:jc w:val="both"/>
      </w:pPr>
      <w:r>
        <w:rPr>
          <w:rFonts w:ascii="Times New Roman" w:hAnsi="Times New Roman"/>
          <w:b w:val="0"/>
          <w:i w:val="0"/>
          <w:color w:val="000000"/>
          <w:sz w:val="15"/>
        </w:rPr>
        <w:t>[5] A. F. Perold and W. F. Sharpe, 'Dynamic strategies for asset allocation,' Financial Analysts Journal, vol. 51, no. 1, pp. 149–160, 1995.</w:t>
      </w:r>
    </w:p>
    <w:p>
      <w:pPr>
        <w:spacing w:before="20" w:after="30" w:line="252" w:lineRule="auto"/>
        <w:jc w:val="both"/>
      </w:pPr>
      <w:r>
        <w:rPr>
          <w:rFonts w:ascii="Times New Roman" w:hAnsi="Times New Roman"/>
          <w:b w:val="0"/>
          <w:i w:val="0"/>
          <w:color w:val="000000"/>
          <w:sz w:val="15"/>
        </w:rPr>
        <w:t>[6] F. D'Acunto et al., 'The promises and pitfalls of robo-advising,' Rev. Financ. Stud., vol. 32, no. 5, pp. 1983–2020, 2019.</w:t>
      </w:r>
    </w:p>
    <w:p>
      <w:pPr>
        <w:spacing w:before="20" w:after="30" w:line="252" w:lineRule="auto"/>
        <w:jc w:val="both"/>
      </w:pPr>
      <w:r>
        <w:rPr>
          <w:rFonts w:ascii="Times New Roman" w:hAnsi="Times New Roman"/>
          <w:b w:val="0"/>
          <w:i w:val="0"/>
          <w:color w:val="000000"/>
          <w:sz w:val="15"/>
        </w:rPr>
        <w:t>[7] S. Beketov et al., 'Robo-advisors: Quantitative evaluation,' J. Asset Manag., vol. 19, no. 7, pp. 503–517, 2018.</w:t>
      </w:r>
    </w:p>
    <w:p>
      <w:pPr>
        <w:spacing w:before="20" w:after="30" w:line="252" w:lineRule="auto"/>
        <w:jc w:val="both"/>
      </w:pPr>
      <w:r>
        <w:rPr>
          <w:rFonts w:ascii="Times New Roman" w:hAnsi="Times New Roman"/>
          <w:b w:val="0"/>
          <w:i w:val="0"/>
          <w:color w:val="000000"/>
          <w:sz w:val="15"/>
        </w:rPr>
        <w:t>[8] T. Jung et al., 'Algorithmic transparency in robo-advisory systems,' Decis. Support Syst., vol. 142, p. 113467, 2021.</w:t>
      </w:r>
    </w:p>
    <w:p>
      <w:pPr>
        <w:spacing w:before="20" w:after="30" w:line="252" w:lineRule="auto"/>
        <w:jc w:val="both"/>
      </w:pPr>
      <w:r>
        <w:rPr>
          <w:rFonts w:ascii="Times New Roman" w:hAnsi="Times New Roman"/>
          <w:b w:val="0"/>
          <w:i w:val="0"/>
          <w:color w:val="000000"/>
          <w:sz w:val="15"/>
        </w:rPr>
        <w:t>[9] S. Wu et al., 'BloombergGPT: A large language model for finance,' arXiv:2303.17564, 2023.</w:t>
      </w:r>
    </w:p>
    <w:p>
      <w:pPr>
        <w:spacing w:before="20" w:after="30" w:line="252" w:lineRule="auto"/>
        <w:jc w:val="both"/>
      </w:pPr>
      <w:r>
        <w:rPr>
          <w:rFonts w:ascii="Times New Roman" w:hAnsi="Times New Roman"/>
          <w:b w:val="0"/>
          <w:i w:val="0"/>
          <w:color w:val="000000"/>
          <w:sz w:val="15"/>
        </w:rPr>
        <w:t>[10] H. Yang et al., 'FinGPT: Open-source financial large language models,' in Proc. IJCAI FinLLM, pp. 1–8, 2023.</w:t>
      </w:r>
    </w:p>
    <w:p>
      <w:pPr>
        <w:spacing w:before="20" w:after="30" w:line="252" w:lineRule="auto"/>
        <w:jc w:val="both"/>
      </w:pPr>
      <w:r>
        <w:rPr>
          <w:rFonts w:ascii="Times New Roman" w:hAnsi="Times New Roman"/>
          <w:b w:val="0"/>
          <w:i w:val="0"/>
          <w:color w:val="000000"/>
          <w:sz w:val="15"/>
        </w:rPr>
        <w:t>[11] J. Wei et al., 'Chain-of-thought prompting elicits reasoning in large language models,' NeurIPS, vol. 35, pp. 24824–24837, 2022.</w:t>
      </w:r>
    </w:p>
    <w:p>
      <w:pPr>
        <w:spacing w:before="20" w:after="30" w:line="252" w:lineRule="auto"/>
        <w:jc w:val="both"/>
      </w:pPr>
      <w:r>
        <w:rPr>
          <w:rFonts w:ascii="Times New Roman" w:hAnsi="Times New Roman"/>
          <w:b w:val="0"/>
          <w:i w:val="0"/>
          <w:color w:val="000000"/>
          <w:sz w:val="15"/>
        </w:rPr>
        <w:t>[12] J. S. Park et al., 'Generative agents,' in Proc. ACM UIST, pp. 1–22, 2023.</w:t>
      </w:r>
    </w:p>
    <w:p>
      <w:pPr>
        <w:spacing w:before="20" w:after="30" w:line="252" w:lineRule="auto"/>
        <w:jc w:val="both"/>
      </w:pPr>
      <w:r>
        <w:rPr>
          <w:rFonts w:ascii="Times New Roman" w:hAnsi="Times New Roman"/>
          <w:b w:val="0"/>
          <w:i w:val="0"/>
          <w:color w:val="000000"/>
          <w:sz w:val="15"/>
        </w:rPr>
        <w:t>[13] Z. Lin et al., 'Edge AI: On-device intelligence,' IEEE Commun. Surv. Tutorials, vol. 25, no. 4, pp. 2240–2275, 2023.</w:t>
      </w:r>
    </w:p>
    <w:p>
      <w:pPr>
        <w:spacing w:before="20" w:after="30" w:line="252" w:lineRule="auto"/>
        <w:jc w:val="both"/>
      </w:pPr>
      <w:r>
        <w:rPr>
          <w:rFonts w:ascii="Times New Roman" w:hAnsi="Times New Roman"/>
          <w:b w:val="0"/>
          <w:i w:val="0"/>
          <w:color w:val="000000"/>
          <w:sz w:val="15"/>
        </w:rPr>
        <w:t>[14] Qwen Team, 'Qwen2.5 Technical Report,' Alibaba Cloud, Tech. Rep., 2024.</w:t>
      </w:r>
    </w:p>
    <w:p>
      <w:pPr>
        <w:spacing w:before="20" w:after="30" w:line="252" w:lineRule="auto"/>
        <w:jc w:val="both"/>
      </w:pPr>
      <w:r>
        <w:rPr>
          <w:rFonts w:ascii="Times New Roman" w:hAnsi="Times New Roman"/>
          <w:b w:val="0"/>
          <w:i w:val="0"/>
          <w:color w:val="000000"/>
          <w:sz w:val="15"/>
        </w:rPr>
        <w:t>[15] Meta AI, 'The Llama 3 Herd of Models,' Meta AI Research, Tech. Rep., 2024.</w:t>
      </w:r>
    </w:p>
    <w:p>
      <w:pPr>
        <w:spacing w:before="20" w:after="30" w:line="252" w:lineRule="auto"/>
        <w:jc w:val="both"/>
      </w:pPr>
      <w:r>
        <w:rPr>
          <w:rFonts w:ascii="Times New Roman" w:hAnsi="Times New Roman"/>
          <w:b w:val="0"/>
          <w:i w:val="0"/>
          <w:color w:val="000000"/>
          <w:sz w:val="15"/>
        </w:rPr>
        <w:t>[49] V. DeMiguel, L. Garlappi, and R. Uppal, 'Optimal versus naive diversification: How inefficient is the 1/N portfolio strategy?,' Rev. Financ. Stud., vol. 22, no. 5, pp. 1915–1953, 2009.</w:t>
      </w:r>
    </w:p>
    <w:p>
      <w:pPr>
        <w:spacing w:before="20" w:after="30" w:line="252" w:lineRule="auto"/>
        <w:jc w:val="both"/>
      </w:pPr>
      <w:r>
        <w:rPr>
          <w:rFonts w:ascii="Times New Roman" w:hAnsi="Times New Roman"/>
          <w:b w:val="0"/>
          <w:i w:val="0"/>
          <w:color w:val="000000"/>
          <w:sz w:val="15"/>
        </w:rPr>
        <w:t>[53] A. Frazzini, R. Israel, and T. J. Moskowitz, 'Trading costs,' Available at SSRN 3229719, 2018.</w:t>
      </w:r>
    </w:p>
    <w:sectPr w:rsidR="00FC693F" w:rsidRPr="0006063C" w:rsidSect="00034616">
      <w:type w:val="continuous"/>
      <w:pgSz w:w="12240" w:h="15840"/>
      <w:pgMar w:top="1080" w:right="936" w:bottom="1080" w:left="936" w:header="720" w:footer="720" w:gutter="0"/>
      <w:cols w:space="45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