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Arial" w:hAnsi="Arial"/>
          <w:b/>
          <w:color w:val="124155"/>
          <w:sz w:val="36"/>
        </w:rPr>
        <w:t>Clinical Practice Guidelines: Management of Atrial Fibrillation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19"/>
              </w:rPr>
              <w:t>Document ID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CARD-GL-2026-04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9"/>
              </w:rPr>
              <w:t>Specialty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Cardiology / Electrophysiology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9"/>
              </w:rPr>
              <w:t>Authors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Cardiovascular Clinical Guideline Working Group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9"/>
              </w:rPr>
              <w:t>Version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4.2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9"/>
              </w:rPr>
              <w:t>Effective Date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January 2026</w:t>
            </w:r>
          </w:p>
        </w:tc>
      </w:tr>
    </w:tbl>
    <w:p>
      <w:pPr>
        <w:spacing w:after="280"/>
      </w:pPr>
    </w:p>
    <w:p>
      <w:pPr>
        <w:spacing w:before="280" w:after="80"/>
      </w:pPr>
      <w:r>
        <w:rPr>
          <w:rFonts w:ascii="Arial" w:hAnsi="Arial"/>
          <w:b/>
          <w:color w:val="0F766E"/>
          <w:sz w:val="26"/>
        </w:rPr>
        <w:t>1. Executive Summary &amp; Clinical Scope</w:t>
      </w:r>
    </w:p>
    <w:p>
      <w:pPr>
        <w:spacing w:after="80"/>
      </w:pPr>
      <w:r>
        <w:rPr>
          <w:rFonts w:ascii="Arial" w:hAnsi="Arial"/>
          <w:sz w:val="20"/>
        </w:rPr>
        <w:t>Atrial fibrillation (AF) is the most common sustained cardiac arrhythmia globally, associated with a five-fold increase in the risk of stroke, a three-fold increase in heart failure risk, and elevated cardiovascular mortality. This clinical guideline delineates evidence-based diagnostic criteria, stroke risk stratification algorithms, pharmacologic rate vs. rhythm control strategies, and anticoagulation therapy recommendations.</w:t>
      </w:r>
    </w:p>
    <w:p>
      <w:pPr>
        <w:spacing w:before="280" w:after="80"/>
      </w:pPr>
      <w:r>
        <w:rPr>
          <w:rFonts w:ascii="Arial" w:hAnsi="Arial"/>
          <w:b/>
          <w:color w:val="0F766E"/>
          <w:sz w:val="26"/>
        </w:rPr>
        <w:t>2. Diagnostic Criteria &amp; Initial Assessment</w:t>
      </w:r>
    </w:p>
    <w:p>
      <w:pPr>
        <w:spacing w:after="80"/>
      </w:pPr>
      <w:r>
        <w:rPr>
          <w:rFonts w:ascii="Arial" w:hAnsi="Arial"/>
          <w:sz w:val="20"/>
        </w:rPr>
        <w:t>A definitive diagnosis of atrial fibrillation requires standard 12-lead electrocardiogram (ECG) documentation or a single-lead ECG tracing showing an irregular rhythm without discernible P waves lasting at least 30 seconds.</w:t>
      </w:r>
    </w:p>
    <w:p>
      <w:pPr>
        <w:spacing w:after="80"/>
      </w:pPr>
      <w:r>
        <w:rPr>
          <w:rFonts w:ascii="Arial" w:hAnsi="Arial"/>
          <w:sz w:val="20"/>
        </w:rPr>
        <w:t>Initial clinical workup must include:</w:t>
      </w:r>
    </w:p>
    <w:p>
      <w:pPr>
        <w:spacing w:after="80"/>
      </w:pPr>
      <w:r>
        <w:rPr>
          <w:rFonts w:ascii="Arial" w:hAnsi="Arial"/>
          <w:sz w:val="20"/>
        </w:rPr>
        <w:t>• 12-lead ECG assessing ventricular rate, QRS width, and ischemic changes.</w:t>
      </w:r>
    </w:p>
    <w:p>
      <w:pPr>
        <w:spacing w:after="80"/>
      </w:pPr>
      <w:r>
        <w:rPr>
          <w:rFonts w:ascii="Arial" w:hAnsi="Arial"/>
          <w:sz w:val="20"/>
        </w:rPr>
        <w:t>• Transthoracic Echocardiogram (TTE) evaluating left ventricular ejection fraction (LVEF), left atrial dimension, and valvular heart disease.</w:t>
      </w:r>
    </w:p>
    <w:p>
      <w:pPr>
        <w:spacing w:after="80"/>
      </w:pPr>
      <w:r>
        <w:rPr>
          <w:rFonts w:ascii="Arial" w:hAnsi="Arial"/>
          <w:sz w:val="20"/>
        </w:rPr>
        <w:t>• Laboratory panel: Thyroid stimulating hormone (TSH), complete blood count, serum creatinine, eGFR, liver transaminases, and electrolytes.</w:t>
      </w:r>
    </w:p>
    <w:p>
      <w:pPr>
        <w:spacing w:before="280" w:after="80"/>
      </w:pPr>
      <w:r>
        <w:rPr>
          <w:rFonts w:ascii="Arial" w:hAnsi="Arial"/>
          <w:b/>
          <w:color w:val="0F766E"/>
          <w:sz w:val="26"/>
        </w:rPr>
        <w:t>3. Thromboembolism Risk Stratification (CHA2DS2-VASc)</w:t>
      </w:r>
    </w:p>
    <w:p>
      <w:pPr>
        <w:spacing w:after="80"/>
      </w:pPr>
      <w:r>
        <w:rPr>
          <w:rFonts w:ascii="Arial" w:hAnsi="Arial"/>
          <w:sz w:val="20"/>
        </w:rPr>
        <w:t>Oral anticoagulation decisions are guided by the validated CHA2DS2-VASc score:</w:t>
      </w:r>
    </w:p>
    <w:p>
      <w:pPr>
        <w:spacing w:after="80"/>
      </w:pPr>
      <w:r>
        <w:rPr>
          <w:rFonts w:ascii="Arial" w:hAnsi="Arial"/>
          <w:sz w:val="20"/>
        </w:rPr>
        <w:t>• Congestive heart failure / LV dysfunction (+1 point)</w:t>
      </w:r>
    </w:p>
    <w:p>
      <w:pPr>
        <w:spacing w:after="80"/>
      </w:pPr>
      <w:r>
        <w:rPr>
          <w:rFonts w:ascii="Arial" w:hAnsi="Arial"/>
          <w:sz w:val="20"/>
        </w:rPr>
        <w:t>• Hypertension consistently &gt;140/90 mmHg or treated (+1 point)</w:t>
      </w:r>
    </w:p>
    <w:p>
      <w:pPr>
        <w:spacing w:after="80"/>
      </w:pPr>
      <w:r>
        <w:rPr>
          <w:rFonts w:ascii="Arial" w:hAnsi="Arial"/>
          <w:sz w:val="20"/>
        </w:rPr>
        <w:t>• Age &gt;= 75 years (+2 points)</w:t>
      </w:r>
    </w:p>
    <w:p>
      <w:pPr>
        <w:spacing w:after="80"/>
      </w:pPr>
      <w:r>
        <w:rPr>
          <w:rFonts w:ascii="Arial" w:hAnsi="Arial"/>
          <w:sz w:val="20"/>
        </w:rPr>
        <w:t>• Diabetes mellitus (+1 point)</w:t>
      </w:r>
    </w:p>
    <w:p>
      <w:pPr>
        <w:spacing w:after="80"/>
      </w:pPr>
      <w:r>
        <w:rPr>
          <w:rFonts w:ascii="Arial" w:hAnsi="Arial"/>
          <w:sz w:val="20"/>
        </w:rPr>
        <w:t>• Stroke, TIA, or prior thromboembolism (+2 points)</w:t>
      </w:r>
    </w:p>
    <w:p>
      <w:pPr>
        <w:spacing w:after="80"/>
      </w:pPr>
      <w:r>
        <w:rPr>
          <w:rFonts w:ascii="Arial" w:hAnsi="Arial"/>
          <w:sz w:val="20"/>
        </w:rPr>
        <w:t>• Vascular disease (prior MI, peripheral artery disease, aortic plaque) (+1 point)</w:t>
      </w:r>
    </w:p>
    <w:p>
      <w:pPr>
        <w:spacing w:after="80"/>
      </w:pPr>
      <w:r>
        <w:rPr>
          <w:rFonts w:ascii="Arial" w:hAnsi="Arial"/>
          <w:sz w:val="20"/>
        </w:rPr>
        <w:t>• Age 65 to 74 years (+1 point)</w:t>
      </w:r>
    </w:p>
    <w:p>
      <w:pPr>
        <w:spacing w:after="80"/>
      </w:pPr>
      <w:r>
        <w:rPr>
          <w:rFonts w:ascii="Arial" w:hAnsi="Arial"/>
          <w:sz w:val="20"/>
        </w:rPr>
        <w:t>• Sex category Female (+1 point)</w:t>
      </w:r>
    </w:p>
    <w:p>
      <w:pPr>
        <w:spacing w:after="80"/>
      </w:pPr>
      <w:r>
        <w:rPr>
          <w:rFonts w:ascii="Arial" w:hAnsi="Arial"/>
          <w:sz w:val="20"/>
        </w:rPr>
        <w:t>Clinical Recommendations:</w:t>
      </w:r>
    </w:p>
    <w:p>
      <w:pPr>
        <w:spacing w:after="80"/>
      </w:pPr>
      <w:r>
        <w:rPr>
          <w:rFonts w:ascii="Arial" w:hAnsi="Arial"/>
          <w:sz w:val="20"/>
        </w:rPr>
        <w:t>- Score &gt;= 2 in men or &gt;= 3 in women: Oral anticoagulation is strongly recommended (Class I, Level A).</w:t>
      </w:r>
    </w:p>
    <w:p>
      <w:pPr>
        <w:spacing w:after="80"/>
      </w:pPr>
      <w:r>
        <w:rPr>
          <w:rFonts w:ascii="Arial" w:hAnsi="Arial"/>
          <w:sz w:val="20"/>
        </w:rPr>
        <w:t>- Score = 1 in men or = 2 in women: Oral anticoagulation should be considered based on bleeding risk and shared decision-making.</w:t>
      </w:r>
    </w:p>
    <w:p>
      <w:pPr>
        <w:spacing w:after="80"/>
      </w:pPr>
      <w:r>
        <w:rPr>
          <w:rFonts w:ascii="Arial" w:hAnsi="Arial"/>
          <w:sz w:val="20"/>
        </w:rPr>
        <w:t>- Score = 0 in men or = 1 in women: Anticoagulation is generally omitted (Class III: Harm).</w:t>
      </w:r>
    </w:p>
    <w:p>
      <w:pPr>
        <w:spacing w:before="280" w:after="80"/>
      </w:pPr>
      <w:r>
        <w:rPr>
          <w:rFonts w:ascii="Arial" w:hAnsi="Arial"/>
          <w:b/>
          <w:color w:val="0F766E"/>
          <w:sz w:val="26"/>
        </w:rPr>
        <w:t>4. Oral Anticoagulation Pharmacotherapy</w:t>
      </w:r>
    </w:p>
    <w:p>
      <w:pPr>
        <w:spacing w:after="80"/>
      </w:pPr>
      <w:r>
        <w:rPr>
          <w:rFonts w:ascii="Arial" w:hAnsi="Arial"/>
          <w:sz w:val="20"/>
        </w:rPr>
        <w:t>Direct Oral Anticoagulants (DOACs) are first-line agents over vitamin K antagonists (Warfarin) for non-valvular AF due to superior safety profiles and significantly reduced intracranial hemorrhage risk.</w:t>
      </w:r>
    </w:p>
    <w:p>
      <w:pPr>
        <w:spacing w:after="80"/>
      </w:pPr>
      <w:r>
        <w:rPr>
          <w:rFonts w:ascii="Arial" w:hAnsi="Arial"/>
          <w:sz w:val="20"/>
        </w:rPr>
        <w:t>Specific Dosing Guidelines:</w:t>
      </w:r>
    </w:p>
    <w:p>
      <w:pPr>
        <w:spacing w:after="80"/>
      </w:pPr>
      <w:r>
        <w:rPr>
          <w:rFonts w:ascii="Arial" w:hAnsi="Arial"/>
          <w:sz w:val="20"/>
        </w:rPr>
        <w:t>• Apixaban (Eliquis): Standard dose is 5 mg PO twice daily (BID). Reduce dose to 2.5 mg PO BID if the patient meets at least TWO of the following ABC criteria: Age &gt;= 80 years, Body weight &lt;= 60 kg, or Serum creatinine &gt;= 1.5 mg/dL.</w:t>
      </w:r>
    </w:p>
    <w:p>
      <w:pPr>
        <w:spacing w:after="80"/>
      </w:pPr>
      <w:r>
        <w:rPr>
          <w:rFonts w:ascii="Arial" w:hAnsi="Arial"/>
          <w:sz w:val="20"/>
        </w:rPr>
        <w:t>• Rivaroxaban (Xarelto): Standard dose is 20 mg PO once daily taken with the evening meal. Dose reduced to 15 mg daily if CrCl is 15-49 mL/min.</w:t>
      </w:r>
    </w:p>
    <w:p>
      <w:pPr>
        <w:spacing w:after="80"/>
      </w:pPr>
      <w:r>
        <w:rPr>
          <w:rFonts w:ascii="Arial" w:hAnsi="Arial"/>
          <w:sz w:val="20"/>
        </w:rPr>
        <w:t>• Dabigatran (Pradaxa): 150 mg PO twice daily. Consider 110 mg PO BID in patients &gt;= 80 years or with elevated bleeding risk.</w:t>
      </w:r>
    </w:p>
    <w:p>
      <w:pPr>
        <w:spacing w:after="80"/>
      </w:pPr>
      <w:r>
        <w:rPr>
          <w:rFonts w:ascii="Arial" w:hAnsi="Arial"/>
          <w:sz w:val="20"/>
        </w:rPr>
        <w:t>• Warfarin: Indicated specifically in mechanical heart valves or moderate-to-severe mitral stenosis. Target INR range is 2.0 to 3.0 (2.5 to 3.5 for mechanical mitral valves).</w:t>
      </w:r>
    </w:p>
    <w:p>
      <w:pPr>
        <w:spacing w:before="280" w:after="80"/>
      </w:pPr>
      <w:r>
        <w:rPr>
          <w:rFonts w:ascii="Arial" w:hAnsi="Arial"/>
          <w:b/>
          <w:color w:val="0F766E"/>
          <w:sz w:val="26"/>
        </w:rPr>
        <w:t>5. Ventricular Rate Control Strategies</w:t>
      </w:r>
    </w:p>
    <w:p>
      <w:pPr>
        <w:spacing w:after="80"/>
      </w:pPr>
      <w:r>
        <w:rPr>
          <w:rFonts w:ascii="Arial" w:hAnsi="Arial"/>
          <w:sz w:val="20"/>
        </w:rPr>
        <w:t>For hemodynamically stable AF, ventricular rate control is initial management. Target resting heart rate is &lt; 110 bpm (lenient control) or &lt; 80 bpm if symptomatic.</w:t>
      </w:r>
    </w:p>
    <w:p>
      <w:pPr>
        <w:spacing w:after="80"/>
      </w:pPr>
      <w:r>
        <w:rPr>
          <w:rFonts w:ascii="Arial" w:hAnsi="Arial"/>
          <w:sz w:val="20"/>
        </w:rPr>
        <w:t>First-line Pharmacotherapy:</w:t>
      </w:r>
    </w:p>
    <w:p>
      <w:pPr>
        <w:spacing w:after="80"/>
      </w:pPr>
      <w:r>
        <w:rPr>
          <w:rFonts w:ascii="Arial" w:hAnsi="Arial"/>
          <w:sz w:val="20"/>
        </w:rPr>
        <w:t>• Beta-Blockers:</w:t>
      </w:r>
    </w:p>
    <w:p>
      <w:pPr>
        <w:spacing w:after="80"/>
      </w:pPr>
      <w:r>
        <w:rPr>
          <w:rFonts w:ascii="Arial" w:hAnsi="Arial"/>
          <w:sz w:val="20"/>
        </w:rPr>
        <w:t>- Metoprolol succinate: 50 mg to 200 mg PO once daily.</w:t>
      </w:r>
    </w:p>
    <w:p>
      <w:pPr>
        <w:spacing w:after="80"/>
      </w:pPr>
      <w:r>
        <w:rPr>
          <w:rFonts w:ascii="Arial" w:hAnsi="Arial"/>
          <w:sz w:val="20"/>
        </w:rPr>
        <w:t>- Bisoprolol: 2.5 mg to 10 mg PO once daily.</w:t>
      </w:r>
    </w:p>
    <w:p>
      <w:pPr>
        <w:spacing w:after="80"/>
      </w:pPr>
      <w:r>
        <w:rPr>
          <w:rFonts w:ascii="Arial" w:hAnsi="Arial"/>
          <w:sz w:val="20"/>
        </w:rPr>
        <w:t>- Carvedilol: 3.125 mg to 25 mg PO twice daily (preferred in heart failure with reduced ejection fraction).</w:t>
      </w:r>
    </w:p>
    <w:p>
      <w:pPr>
        <w:spacing w:after="80"/>
      </w:pPr>
      <w:r>
        <w:rPr>
          <w:rFonts w:ascii="Arial" w:hAnsi="Arial"/>
          <w:sz w:val="20"/>
        </w:rPr>
        <w:t>• Non-Dihydropyridine Calcium Channel Blockers:</w:t>
      </w:r>
    </w:p>
    <w:p>
      <w:pPr>
        <w:spacing w:after="80"/>
      </w:pPr>
      <w:r>
        <w:rPr>
          <w:rFonts w:ascii="Arial" w:hAnsi="Arial"/>
          <w:sz w:val="20"/>
        </w:rPr>
        <w:t>- Diltiazem: 120 mg to 360 mg PO daily (avoid in HFrEF with LVEF &lt; 40%).</w:t>
      </w:r>
    </w:p>
    <w:p>
      <w:pPr>
        <w:spacing w:after="80"/>
      </w:pPr>
      <w:r>
        <w:rPr>
          <w:rFonts w:ascii="Arial" w:hAnsi="Arial"/>
          <w:sz w:val="20"/>
        </w:rPr>
        <w:t>- Verapamil: 120 mg to 360 mg PO daily in divided doses.</w:t>
      </w:r>
    </w:p>
    <w:p>
      <w:pPr>
        <w:spacing w:after="80"/>
      </w:pPr>
      <w:r>
        <w:rPr>
          <w:rFonts w:ascii="Arial" w:hAnsi="Arial"/>
          <w:sz w:val="20"/>
        </w:rPr>
        <w:t>• Second-line Add-on:</w:t>
      </w:r>
    </w:p>
    <w:p>
      <w:pPr>
        <w:spacing w:after="80"/>
      </w:pPr>
      <w:r>
        <w:rPr>
          <w:rFonts w:ascii="Arial" w:hAnsi="Arial"/>
          <w:sz w:val="20"/>
        </w:rPr>
        <w:t>- Digoxin: 0.0625 mg to 0.25 mg daily, useful in sedentary patients with concurrent HFrEF.</w:t>
      </w:r>
    </w:p>
    <w:p>
      <w:pPr>
        <w:spacing w:after="80"/>
      </w:pPr>
      <w:r>
        <w:rPr>
          <w:rFonts w:ascii="Arial" w:hAnsi="Arial"/>
          <w:sz w:val="20"/>
        </w:rPr>
        <w:t>- Amiodarone: Reserved for refractory rate control or when other agents are contraindicated.</w:t>
      </w:r>
    </w:p>
    <w:p>
      <w:pPr>
        <w:spacing w:before="280" w:after="80"/>
      </w:pPr>
      <w:r>
        <w:rPr>
          <w:rFonts w:ascii="Arial" w:hAnsi="Arial"/>
          <w:b/>
          <w:color w:val="0F766E"/>
          <w:sz w:val="26"/>
        </w:rPr>
        <w:t>6. Rhythm Control &amp; Cardioversion Protocol</w:t>
      </w:r>
    </w:p>
    <w:p>
      <w:pPr>
        <w:spacing w:after="80"/>
      </w:pPr>
      <w:r>
        <w:rPr>
          <w:rFonts w:ascii="Arial" w:hAnsi="Arial"/>
          <w:sz w:val="20"/>
        </w:rPr>
        <w:t>Rhythm control is indicated for patients with persistent symptoms despite rate control, younger patients, or heart failure precipitated by tachycardia.</w:t>
      </w:r>
    </w:p>
    <w:p>
      <w:pPr>
        <w:spacing w:after="80"/>
      </w:pPr>
      <w:r>
        <w:rPr>
          <w:rFonts w:ascii="Arial" w:hAnsi="Arial"/>
          <w:sz w:val="20"/>
        </w:rPr>
        <w:t>Cardioversion Anticoagulation Protocol:</w:t>
      </w:r>
    </w:p>
    <w:p>
      <w:pPr>
        <w:spacing w:after="80"/>
      </w:pPr>
      <w:r>
        <w:rPr>
          <w:rFonts w:ascii="Arial" w:hAnsi="Arial"/>
          <w:sz w:val="20"/>
        </w:rPr>
        <w:t>• If AF duration &gt; 48 hours (or unknown duration): Must complete at least 3 consecutive weeks of therapeutic anticoagulation before elective cardioversion, OR undergo transesophageal echocardiography (TEE) to exclude left atrial appendage (LAA) thrombus.</w:t>
      </w:r>
    </w:p>
    <w:p>
      <w:pPr>
        <w:spacing w:after="80"/>
      </w:pPr>
      <w:r>
        <w:rPr>
          <w:rFonts w:ascii="Arial" w:hAnsi="Arial"/>
          <w:sz w:val="20"/>
        </w:rPr>
        <w:t>• Post-cardioversion: Therapeutic anticoagulation must be maintained for a minimum of 4 weeks regardless of CHA2DS2-VASc score.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