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124155"/>
          <w:sz w:val="36"/>
        </w:rPr>
        <w:t>Clinical Protocol: Comprehensive Type 2 Diabetes &amp; Cardiometabolic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GMED-PROT-2026-03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Specialty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Internal Medicine / Endocrinology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Authors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Division of Internal &amp; Preventive Medicine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2.5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January 2026</w:t>
            </w:r>
          </w:p>
        </w:tc>
      </w:tr>
    </w:tbl>
    <w:p>
      <w:pPr>
        <w:spacing w:after="280"/>
      </w:pPr>
    </w:p>
    <w:p>
      <w:pPr>
        <w:spacing w:before="280" w:after="80"/>
      </w:pPr>
      <w:r>
        <w:rPr>
          <w:rFonts w:ascii="Arial" w:hAnsi="Arial"/>
          <w:b/>
          <w:color w:val="0F766E"/>
          <w:sz w:val="26"/>
        </w:rPr>
        <w:t>1. Diagnostic Standards &amp; Glycemic Targets</w:t>
      </w:r>
    </w:p>
    <w:p>
      <w:pPr>
        <w:spacing w:after="80"/>
      </w:pPr>
      <w:r>
        <w:rPr>
          <w:rFonts w:ascii="Arial" w:hAnsi="Arial"/>
          <w:sz w:val="20"/>
        </w:rPr>
        <w:t>Diagnostic criteria for Type 2 Diabetes Mellitus include:</w:t>
      </w:r>
    </w:p>
    <w:p>
      <w:pPr>
        <w:spacing w:after="80"/>
      </w:pPr>
      <w:r>
        <w:rPr>
          <w:rFonts w:ascii="Arial" w:hAnsi="Arial"/>
          <w:sz w:val="20"/>
        </w:rPr>
        <w:t>• Fasting Plasma Glucose (FPG) &gt;= 126 mg/dL (7.0 mmol/L) on two separate occasions.</w:t>
      </w:r>
    </w:p>
    <w:p>
      <w:pPr>
        <w:spacing w:after="80"/>
      </w:pPr>
      <w:r>
        <w:rPr>
          <w:rFonts w:ascii="Arial" w:hAnsi="Arial"/>
          <w:sz w:val="20"/>
        </w:rPr>
        <w:t>• Hemoglobin A1c (HbA1c) &gt;= 6.5% using a certified NGSP laboratory assay.</w:t>
      </w:r>
    </w:p>
    <w:p>
      <w:pPr>
        <w:spacing w:after="80"/>
      </w:pPr>
      <w:r>
        <w:rPr>
          <w:rFonts w:ascii="Arial" w:hAnsi="Arial"/>
          <w:sz w:val="20"/>
        </w:rPr>
        <w:t>• 2-hour 75g Oral Glucose Tolerance Test (OGTT) &gt;= 200 mg/dL (11.1 mmol/L).</w:t>
      </w:r>
    </w:p>
    <w:p>
      <w:pPr>
        <w:spacing w:after="80"/>
      </w:pPr>
      <w:r>
        <w:rPr>
          <w:rFonts w:ascii="Arial" w:hAnsi="Arial"/>
          <w:sz w:val="20"/>
        </w:rPr>
        <w:t>• Random plasma glucose &gt;= 200 mg/dL accompanied by classic hyperglycemic symptoms (polyuria, polydipsia).</w:t>
      </w:r>
    </w:p>
    <w:p>
      <w:pPr>
        <w:spacing w:after="80"/>
      </w:pPr>
      <w:r>
        <w:rPr>
          <w:rFonts w:ascii="Arial" w:hAnsi="Arial"/>
          <w:sz w:val="20"/>
        </w:rPr>
        <w:t>Individualized Glycemic Targets:</w:t>
      </w:r>
    </w:p>
    <w:p>
      <w:pPr>
        <w:spacing w:after="80"/>
      </w:pPr>
      <w:r>
        <w:rPr>
          <w:rFonts w:ascii="Arial" w:hAnsi="Arial"/>
          <w:sz w:val="20"/>
        </w:rPr>
        <w:t>• Standard adult goal: HbA1c &lt; 7.0% (53 mmol/mol).</w:t>
      </w:r>
    </w:p>
    <w:p>
      <w:pPr>
        <w:spacing w:after="80"/>
      </w:pPr>
      <w:r>
        <w:rPr>
          <w:rFonts w:ascii="Arial" w:hAnsi="Arial"/>
          <w:sz w:val="20"/>
        </w:rPr>
        <w:t>• Stringent goal (&lt; 6.5%): Newly diagnosed, young patients without cardiovascular disease, low hypoglycemia risk.</w:t>
      </w:r>
    </w:p>
    <w:p>
      <w:pPr>
        <w:spacing w:after="80"/>
      </w:pPr>
      <w:r>
        <w:rPr>
          <w:rFonts w:ascii="Arial" w:hAnsi="Arial"/>
          <w:sz w:val="20"/>
        </w:rPr>
        <w:t>• Relaxed goal (&lt; 8.0%): Elderly patients, extensive comorbidities, history of severe hypoglycemic episodes.</w:t>
      </w:r>
    </w:p>
    <w:p>
      <w:pPr>
        <w:spacing w:before="280" w:after="80"/>
      </w:pPr>
      <w:r>
        <w:rPr>
          <w:rFonts w:ascii="Arial" w:hAnsi="Arial"/>
          <w:b/>
          <w:color w:val="0F766E"/>
          <w:sz w:val="26"/>
        </w:rPr>
        <w:t>2. Pharmacotherapy: First-Line &amp; Organ-Protective Agents</w:t>
      </w:r>
    </w:p>
    <w:p>
      <w:pPr>
        <w:spacing w:after="80"/>
      </w:pPr>
      <w:r>
        <w:rPr>
          <w:rFonts w:ascii="Arial" w:hAnsi="Arial"/>
          <w:sz w:val="20"/>
        </w:rPr>
        <w:t>Modern management prioritizes cardiorenal organ protection independent of baseline HbA1c:</w:t>
      </w:r>
    </w:p>
    <w:p>
      <w:pPr>
        <w:spacing w:after="80"/>
      </w:pPr>
      <w:r>
        <w:rPr>
          <w:rFonts w:ascii="Arial" w:hAnsi="Arial"/>
          <w:sz w:val="20"/>
        </w:rPr>
        <w:t>• Metformin:</w:t>
      </w:r>
    </w:p>
    <w:p>
      <w:pPr>
        <w:spacing w:after="80"/>
      </w:pPr>
      <w:r>
        <w:rPr>
          <w:rFonts w:ascii="Arial" w:hAnsi="Arial"/>
          <w:sz w:val="20"/>
        </w:rPr>
        <w:t>- Foundation therapy: Start at 500 mg PO daily with meals, titrate to 1000 mg BID.</w:t>
      </w:r>
    </w:p>
    <w:p>
      <w:pPr>
        <w:spacing w:after="80"/>
      </w:pPr>
      <w:r>
        <w:rPr>
          <w:rFonts w:ascii="Arial" w:hAnsi="Arial"/>
          <w:sz w:val="20"/>
        </w:rPr>
        <w:t>- Renal adjustment: Check eGFR; contraindicated if eGFR &lt; 30 mL/min/1.73m2; reduce maximum dose to 1000 mg daily if eGFR 30-44 mL/min.</w:t>
      </w:r>
    </w:p>
    <w:p>
      <w:pPr>
        <w:spacing w:after="80"/>
      </w:pPr>
      <w:r>
        <w:rPr>
          <w:rFonts w:ascii="Arial" w:hAnsi="Arial"/>
          <w:sz w:val="20"/>
        </w:rPr>
        <w:t>• SGLT2 Inhibitors (Empagliflozin 10-25 mg daily, Dapagliflozin 10 mg daily):</w:t>
      </w:r>
    </w:p>
    <w:p>
      <w:pPr>
        <w:spacing w:after="80"/>
      </w:pPr>
      <w:r>
        <w:rPr>
          <w:rFonts w:ascii="Arial" w:hAnsi="Arial"/>
          <w:sz w:val="20"/>
        </w:rPr>
        <w:t>- Strongly indicated in patients with Heart Failure (HFrEF or HFpEF) or Chronic Kidney Disease (CKD) with albuminuria (UACR &gt; 30 mg/g).</w:t>
      </w:r>
    </w:p>
    <w:p>
      <w:pPr>
        <w:spacing w:after="80"/>
      </w:pPr>
      <w:r>
        <w:rPr>
          <w:rFonts w:ascii="Arial" w:hAnsi="Arial"/>
          <w:sz w:val="20"/>
        </w:rPr>
        <w:t>- Reduces cardiovascular death, HF hospitalizations, and renal disease progression.</w:t>
      </w:r>
    </w:p>
    <w:p>
      <w:pPr>
        <w:spacing w:after="80"/>
      </w:pPr>
      <w:r>
        <w:rPr>
          <w:rFonts w:ascii="Arial" w:hAnsi="Arial"/>
          <w:sz w:val="20"/>
        </w:rPr>
        <w:t>• GLP-1 Receptor Agonists (Semaglutide 0.5-2.0 mg SC weekly, Dulaglutide 0.75-4.5 mg SC weekly):</w:t>
      </w:r>
    </w:p>
    <w:p>
      <w:pPr>
        <w:spacing w:after="80"/>
      </w:pPr>
      <w:r>
        <w:rPr>
          <w:rFonts w:ascii="Arial" w:hAnsi="Arial"/>
          <w:sz w:val="20"/>
        </w:rPr>
        <w:t>- Strongly indicated in established Atherosclerotic Cardiovascular Disease (ASCVD) or high cardiovascular risk.</w:t>
      </w:r>
    </w:p>
    <w:p>
      <w:pPr>
        <w:spacing w:after="80"/>
      </w:pPr>
      <w:r>
        <w:rPr>
          <w:rFonts w:ascii="Arial" w:hAnsi="Arial"/>
          <w:sz w:val="20"/>
        </w:rPr>
        <w:t>- Substantial weight reduction and significant reduction in Major Adverse Cardiovascular Events (MACE).</w:t>
      </w:r>
    </w:p>
    <w:p>
      <w:pPr>
        <w:spacing w:before="280" w:after="80"/>
      </w:pPr>
      <w:r>
        <w:rPr>
          <w:rFonts w:ascii="Arial" w:hAnsi="Arial"/>
          <w:b/>
          <w:color w:val="0F766E"/>
          <w:sz w:val="26"/>
        </w:rPr>
        <w:t>3. Hypertension &amp; Lipid Comorbidity Management</w:t>
      </w:r>
    </w:p>
    <w:p>
      <w:pPr>
        <w:spacing w:after="80"/>
      </w:pPr>
      <w:r>
        <w:rPr>
          <w:rFonts w:ascii="Arial" w:hAnsi="Arial"/>
          <w:sz w:val="20"/>
        </w:rPr>
        <w:t>• Blood Pressure Target: &lt; 130/80 mmHg.</w:t>
      </w:r>
    </w:p>
    <w:p>
      <w:pPr>
        <w:spacing w:after="80"/>
      </w:pPr>
      <w:r>
        <w:rPr>
          <w:rFonts w:ascii="Arial" w:hAnsi="Arial"/>
          <w:sz w:val="20"/>
        </w:rPr>
        <w:t>- First-line in patients with albuminuria: ACE inhibitor (Lisinopril 10-40 mg daily) or ARB (Losartan 50-100 mg daily).</w:t>
      </w:r>
    </w:p>
    <w:p>
      <w:pPr>
        <w:spacing w:after="80"/>
      </w:pPr>
      <w:r>
        <w:rPr>
          <w:rFonts w:ascii="Arial" w:hAnsi="Arial"/>
          <w:sz w:val="20"/>
        </w:rPr>
        <w:t>• Lipid Target:</w:t>
      </w:r>
    </w:p>
    <w:p>
      <w:pPr>
        <w:spacing w:after="80"/>
      </w:pPr>
      <w:r>
        <w:rPr>
          <w:rFonts w:ascii="Arial" w:hAnsi="Arial"/>
          <w:sz w:val="20"/>
        </w:rPr>
        <w:t>- Age 40-75 with diabetes: Moderate-intensity statin (Atorvastatin 20 mg daily).</w:t>
      </w:r>
    </w:p>
    <w:p>
      <w:pPr>
        <w:spacing w:after="80"/>
      </w:pPr>
      <w:r>
        <w:rPr>
          <w:rFonts w:ascii="Arial" w:hAnsi="Arial"/>
          <w:sz w:val="20"/>
        </w:rPr>
        <w:t>- Diabetes + ASCVD or high ASCVD risk: High-intensity statin (Atorvastatin 80 mg daily) with target LDL-C reduction &gt;= 50% and LDL &lt; 55 mg/dL.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