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124155"/>
          <w:sz w:val="36"/>
        </w:rPr>
        <w:t>Clinical Emergency Protocol: Acute Ischemic Stroke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NEUR-PROT-2026-01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Specialty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Neurology / Neuro-Intensive Care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Authors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Comprehensive Stroke Center Steering Committee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3.8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February 2026</w:t>
            </w:r>
          </w:p>
        </w:tc>
      </w:tr>
    </w:tbl>
    <w:p>
      <w:pPr>
        <w:spacing w:after="280"/>
      </w:pP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1. Triage &amp; Rapid Emergency Assessment</w:t>
      </w:r>
    </w:p>
    <w:p>
      <w:pPr>
        <w:spacing w:after="80"/>
      </w:pPr>
      <w:r>
        <w:rPr>
          <w:rFonts w:ascii="Arial" w:hAnsi="Arial"/>
          <w:sz w:val="20"/>
        </w:rPr>
        <w:t>Acute ischemic stroke is a time-critical neurological emergency ('Time is Brain'). The initial emergency department evaluation must follow the 10-25-45 rule:</w:t>
      </w:r>
    </w:p>
    <w:p>
      <w:pPr>
        <w:spacing w:after="80"/>
      </w:pPr>
      <w:r>
        <w:rPr>
          <w:rFonts w:ascii="Arial" w:hAnsi="Arial"/>
          <w:sz w:val="20"/>
        </w:rPr>
        <w:t>• Door-to-physician assessment: Within 10 minutes.</w:t>
      </w:r>
    </w:p>
    <w:p>
      <w:pPr>
        <w:spacing w:after="80"/>
      </w:pPr>
      <w:r>
        <w:rPr>
          <w:rFonts w:ascii="Arial" w:hAnsi="Arial"/>
          <w:sz w:val="20"/>
        </w:rPr>
        <w:t>• Door-to-non-contrast CT / CT angiography: Completed within 25 minutes.</w:t>
      </w:r>
    </w:p>
    <w:p>
      <w:pPr>
        <w:spacing w:after="80"/>
      </w:pPr>
      <w:r>
        <w:rPr>
          <w:rFonts w:ascii="Arial" w:hAnsi="Arial"/>
          <w:sz w:val="20"/>
        </w:rPr>
        <w:t>• Door-to-CT interpretation: Completed within 45 minutes.</w:t>
      </w:r>
    </w:p>
    <w:p>
      <w:pPr>
        <w:spacing w:after="80"/>
      </w:pPr>
      <w:r>
        <w:rPr>
          <w:rFonts w:ascii="Arial" w:hAnsi="Arial"/>
          <w:sz w:val="20"/>
        </w:rPr>
        <w:t>• Door-to-needle (IV thrombolysis): Target &lt; 45 minutes (benchmark goal &lt; 30 minutes).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2. Neurological Scoring &amp; Clinical Examination</w:t>
      </w:r>
    </w:p>
    <w:p>
      <w:pPr>
        <w:spacing w:after="80"/>
      </w:pPr>
      <w:r>
        <w:rPr>
          <w:rFonts w:ascii="Arial" w:hAnsi="Arial"/>
          <w:sz w:val="20"/>
        </w:rPr>
        <w:t>All candidates must be evaluated using the National Institutes of Health Stroke Scale (NIHSS):</w:t>
      </w:r>
    </w:p>
    <w:p>
      <w:pPr>
        <w:spacing w:after="80"/>
      </w:pPr>
      <w:r>
        <w:rPr>
          <w:rFonts w:ascii="Arial" w:hAnsi="Arial"/>
          <w:sz w:val="20"/>
        </w:rPr>
        <w:t>• Score 1-4: Minor stroke.</w:t>
      </w:r>
    </w:p>
    <w:p>
      <w:pPr>
        <w:spacing w:after="80"/>
      </w:pPr>
      <w:r>
        <w:rPr>
          <w:rFonts w:ascii="Arial" w:hAnsi="Arial"/>
          <w:sz w:val="20"/>
        </w:rPr>
        <w:t>• Score 5-15: Moderate stroke.</w:t>
      </w:r>
    </w:p>
    <w:p>
      <w:pPr>
        <w:spacing w:after="80"/>
      </w:pPr>
      <w:r>
        <w:rPr>
          <w:rFonts w:ascii="Arial" w:hAnsi="Arial"/>
          <w:sz w:val="20"/>
        </w:rPr>
        <w:t>• Score 16-20: Moderate-to-severe stroke.</w:t>
      </w:r>
    </w:p>
    <w:p>
      <w:pPr>
        <w:spacing w:after="80"/>
      </w:pPr>
      <w:r>
        <w:rPr>
          <w:rFonts w:ascii="Arial" w:hAnsi="Arial"/>
          <w:sz w:val="20"/>
        </w:rPr>
        <w:t>• Score 21-42: Severe stroke.</w:t>
      </w:r>
    </w:p>
    <w:p>
      <w:pPr>
        <w:spacing w:after="80"/>
      </w:pPr>
      <w:r>
        <w:rPr>
          <w:rFonts w:ascii="Arial" w:hAnsi="Arial"/>
          <w:sz w:val="20"/>
        </w:rPr>
        <w:t>Mandatory Rapid Diagnostic Tests:</w:t>
      </w:r>
    </w:p>
    <w:p>
      <w:pPr>
        <w:spacing w:after="80"/>
      </w:pPr>
      <w:r>
        <w:rPr>
          <w:rFonts w:ascii="Arial" w:hAnsi="Arial"/>
          <w:sz w:val="20"/>
        </w:rPr>
        <w:t>• Point-of-care capillary blood glucose (must rule out hypoglycemia &lt; 60 mg/dL as stroke mimic).</w:t>
      </w:r>
    </w:p>
    <w:p>
      <w:pPr>
        <w:spacing w:after="80"/>
      </w:pPr>
      <w:r>
        <w:rPr>
          <w:rFonts w:ascii="Arial" w:hAnsi="Arial"/>
          <w:sz w:val="20"/>
        </w:rPr>
        <w:t>• Coagulation panel (PT, INR, aPTT) and platelet count (thrombolysis is permissible prior to lab results unless coagulopathy or heparin/warfarin use is suspected).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3. Intravenous Thrombolysis Protocols (0 to 4.5 Hours)</w:t>
      </w:r>
    </w:p>
    <w:p>
      <w:pPr>
        <w:spacing w:after="80"/>
      </w:pPr>
      <w:r>
        <w:rPr>
          <w:rFonts w:ascii="Arial" w:hAnsi="Arial"/>
          <w:sz w:val="20"/>
        </w:rPr>
        <w:t>Patients presenting within 4.5 hours of symptom onset (or last known normal) without contraindications are eligible for IV thrombolytic therapy.</w:t>
      </w:r>
    </w:p>
    <w:p>
      <w:pPr>
        <w:spacing w:after="80"/>
      </w:pPr>
      <w:r>
        <w:rPr>
          <w:rFonts w:ascii="Arial" w:hAnsi="Arial"/>
          <w:sz w:val="20"/>
        </w:rPr>
        <w:t>Agent Selections &amp; Dosing:</w:t>
      </w:r>
    </w:p>
    <w:p>
      <w:pPr>
        <w:spacing w:after="80"/>
      </w:pPr>
      <w:r>
        <w:rPr>
          <w:rFonts w:ascii="Arial" w:hAnsi="Arial"/>
          <w:sz w:val="20"/>
        </w:rPr>
        <w:t>• Tenecteplase (TNK-tPA): Recommended first-line agent. Dose is 0.25 mg/kg IV single bolus over 5 seconds (maximum dose 25 mg). Does not require an infusion pump.</w:t>
      </w:r>
    </w:p>
    <w:p>
      <w:pPr>
        <w:spacing w:after="80"/>
      </w:pPr>
      <w:r>
        <w:rPr>
          <w:rFonts w:ascii="Arial" w:hAnsi="Arial"/>
          <w:sz w:val="20"/>
        </w:rPr>
        <w:t>• Alteplase (rtPA): Alternative agent. Total dose 0.9 mg/kg (maximum 90 mg). Administer 10% of total dose as an IV bolus over 1 minute, followed by the remaining 90% infused over 60 minutes.</w:t>
      </w:r>
    </w:p>
    <w:p>
      <w:pPr>
        <w:spacing w:after="80"/>
      </w:pPr>
      <w:r>
        <w:rPr>
          <w:rFonts w:ascii="Arial" w:hAnsi="Arial"/>
          <w:sz w:val="20"/>
        </w:rPr>
        <w:t>Absolute Contraindications to Thrombolysis:</w:t>
      </w:r>
    </w:p>
    <w:p>
      <w:pPr>
        <w:spacing w:after="80"/>
      </w:pPr>
      <w:r>
        <w:rPr>
          <w:rFonts w:ascii="Arial" w:hAnsi="Arial"/>
          <w:sz w:val="20"/>
        </w:rPr>
        <w:t>• Intracranial hemorrhage on baseline CT scan.</w:t>
      </w:r>
    </w:p>
    <w:p>
      <w:pPr>
        <w:spacing w:after="80"/>
      </w:pPr>
      <w:r>
        <w:rPr>
          <w:rFonts w:ascii="Arial" w:hAnsi="Arial"/>
          <w:sz w:val="20"/>
        </w:rPr>
        <w:t>• Significant head trauma or prior stroke within the past 3 months.</w:t>
      </w:r>
    </w:p>
    <w:p>
      <w:pPr>
        <w:spacing w:after="80"/>
      </w:pPr>
      <w:r>
        <w:rPr>
          <w:rFonts w:ascii="Arial" w:hAnsi="Arial"/>
          <w:sz w:val="20"/>
        </w:rPr>
        <w:t>• Platelet count &lt; 100,000/mm3 or INR &gt; 1.7.</w:t>
      </w:r>
    </w:p>
    <w:p>
      <w:pPr>
        <w:spacing w:after="80"/>
      </w:pPr>
      <w:r>
        <w:rPr>
          <w:rFonts w:ascii="Arial" w:hAnsi="Arial"/>
          <w:sz w:val="20"/>
        </w:rPr>
        <w:t>• Use of full-dose DOAC (Apixaban, Rivaroxaban) within the prior 48 hours with normal renal function.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4. Acute Blood Pressure Management Protocol</w:t>
      </w:r>
    </w:p>
    <w:p>
      <w:pPr>
        <w:spacing w:after="80"/>
      </w:pPr>
      <w:r>
        <w:rPr>
          <w:rFonts w:ascii="Arial" w:hAnsi="Arial"/>
          <w:sz w:val="20"/>
        </w:rPr>
        <w:t>Strict blood pressure control is paramount to avoid hemorrhagic transformation:</w:t>
      </w:r>
    </w:p>
    <w:p>
      <w:pPr>
        <w:spacing w:after="80"/>
      </w:pPr>
      <w:r>
        <w:rPr>
          <w:rFonts w:ascii="Arial" w:hAnsi="Arial"/>
          <w:sz w:val="20"/>
        </w:rPr>
        <w:t>• Prior to IV thrombolysis: Blood pressure must be lowered to Systolic &lt; 185 mmHg and Diastolic &lt; 110 mmHg.</w:t>
      </w:r>
    </w:p>
    <w:p>
      <w:pPr>
        <w:spacing w:after="80"/>
      </w:pPr>
      <w:r>
        <w:rPr>
          <w:rFonts w:ascii="Arial" w:hAnsi="Arial"/>
          <w:sz w:val="20"/>
        </w:rPr>
        <w:t>• First-line antihypertensive agents:</w:t>
      </w:r>
    </w:p>
    <w:p>
      <w:pPr>
        <w:spacing w:after="80"/>
      </w:pPr>
      <w:r>
        <w:rPr>
          <w:rFonts w:ascii="Arial" w:hAnsi="Arial"/>
          <w:sz w:val="20"/>
        </w:rPr>
        <w:t>- Labetalol: 10 mg to 20 mg IV push over 1-2 minutes; may repeat or double every 10 minutes to maximum 300 mg.</w:t>
      </w:r>
    </w:p>
    <w:p>
      <w:pPr>
        <w:spacing w:after="80"/>
      </w:pPr>
      <w:r>
        <w:rPr>
          <w:rFonts w:ascii="Arial" w:hAnsi="Arial"/>
          <w:sz w:val="20"/>
        </w:rPr>
        <w:t>- Nicardipine IV infusion: 5 mg/hr, titrate up by 2.5 mg/hr every 5-15 minutes (maximum 15 mg/hr).</w:t>
      </w:r>
    </w:p>
    <w:p>
      <w:pPr>
        <w:spacing w:after="80"/>
      </w:pPr>
      <w:r>
        <w:rPr>
          <w:rFonts w:ascii="Arial" w:hAnsi="Arial"/>
          <w:sz w:val="20"/>
        </w:rPr>
        <w:t>• During and after thrombolysis: Maintain BP &lt; 180/105 mmHg for at least 24 hours post-thrombolytic administration.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5. Endovascular Mechanical Thrombectomy (EVT)</w:t>
      </w:r>
    </w:p>
    <w:p>
      <w:pPr>
        <w:spacing w:after="80"/>
      </w:pPr>
      <w:r>
        <w:rPr>
          <w:rFonts w:ascii="Arial" w:hAnsi="Arial"/>
          <w:sz w:val="20"/>
        </w:rPr>
        <w:t>Mechanical thrombectomy with stent retriever or aspiration catheter is indicated for large vessel occlusions (LVO) of the internal carotid artery (ICA) or proximal middle cerebral artery (MCA M1 segment).</w:t>
      </w:r>
    </w:p>
    <w:p>
      <w:pPr>
        <w:spacing w:after="80"/>
      </w:pPr>
      <w:r>
        <w:rPr>
          <w:rFonts w:ascii="Arial" w:hAnsi="Arial"/>
          <w:sz w:val="20"/>
        </w:rPr>
        <w:t>Eligibility Criteria:</w:t>
      </w:r>
    </w:p>
    <w:p>
      <w:pPr>
        <w:spacing w:after="80"/>
      </w:pPr>
      <w:r>
        <w:rPr>
          <w:rFonts w:ascii="Arial" w:hAnsi="Arial"/>
          <w:sz w:val="20"/>
        </w:rPr>
        <w:t>• Within 0 to 6 hours of onset: Pre-stroke mRS 0-1, NIHSS &gt;= 6, ASPECTS score &gt;= 6 on non-contrast CT.</w:t>
      </w:r>
    </w:p>
    <w:p>
      <w:pPr>
        <w:spacing w:after="80"/>
      </w:pPr>
      <w:r>
        <w:rPr>
          <w:rFonts w:ascii="Arial" w:hAnsi="Arial"/>
          <w:sz w:val="20"/>
        </w:rPr>
        <w:t>• Extended window (6 to 24 hours): Eligible if fulfilling DAWN or DEFUSE-3 trial perfusion mismatch criteria (target mismatch on CT perfusion or MRI diffusion-weighted imaging showing penumbra salvability).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6. Inpatient Subacute Care &amp; Secondary Prevention</w:t>
      </w:r>
    </w:p>
    <w:p>
      <w:pPr>
        <w:spacing w:after="80"/>
      </w:pPr>
      <w:r>
        <w:rPr>
          <w:rFonts w:ascii="Arial" w:hAnsi="Arial"/>
          <w:sz w:val="20"/>
        </w:rPr>
        <w:t>Post-thrombolysis Inpatient Directives:</w:t>
      </w:r>
    </w:p>
    <w:p>
      <w:pPr>
        <w:spacing w:after="80"/>
      </w:pPr>
      <w:r>
        <w:rPr>
          <w:rFonts w:ascii="Arial" w:hAnsi="Arial"/>
          <w:sz w:val="20"/>
        </w:rPr>
        <w:t>• Neuro-checks and vital signs: Every 15 min for 2 hours, every 30 min for 6 hours, then hourly for 16 hours.</w:t>
      </w:r>
    </w:p>
    <w:p>
      <w:pPr>
        <w:spacing w:after="80"/>
      </w:pPr>
      <w:r>
        <w:rPr>
          <w:rFonts w:ascii="Arial" w:hAnsi="Arial"/>
          <w:sz w:val="20"/>
        </w:rPr>
        <w:t>• Nil per os (NPO) until formal dysphagia screening is performed to prevent aspiration pneumonia.</w:t>
      </w:r>
    </w:p>
    <w:p>
      <w:pPr>
        <w:spacing w:after="80"/>
      </w:pPr>
      <w:r>
        <w:rPr>
          <w:rFonts w:ascii="Arial" w:hAnsi="Arial"/>
          <w:sz w:val="20"/>
        </w:rPr>
        <w:t>• Repeat non-contrast CT at 24 hours post-thrombolysis before starting any antithrombotic medications.</w:t>
      </w:r>
    </w:p>
    <w:p>
      <w:pPr>
        <w:spacing w:after="80"/>
      </w:pPr>
      <w:r>
        <w:rPr>
          <w:rFonts w:ascii="Arial" w:hAnsi="Arial"/>
          <w:sz w:val="20"/>
        </w:rPr>
        <w:t>Secondary Prevention Regimen:</w:t>
      </w:r>
    </w:p>
    <w:p>
      <w:pPr>
        <w:spacing w:after="80"/>
      </w:pPr>
      <w:r>
        <w:rPr>
          <w:rFonts w:ascii="Arial" w:hAnsi="Arial"/>
          <w:sz w:val="20"/>
        </w:rPr>
        <w:t>• Antiplatelet therapy: Initiate Aspirin 160-325 mg daily starting 24 hours post-thrombolysis. For high-risk TIA (ABCD2 &gt;= 4) or minor stroke (NIHSS &lt;= 3), start dual antiplatelet therapy (DAPT: Aspirin 81 mg + Clopidogrel 75 mg daily) for 21 days.</w:t>
      </w:r>
    </w:p>
    <w:p>
      <w:pPr>
        <w:spacing w:after="80"/>
      </w:pPr>
      <w:r>
        <w:rPr>
          <w:rFonts w:ascii="Arial" w:hAnsi="Arial"/>
          <w:sz w:val="20"/>
        </w:rPr>
        <w:t>• Lipid-lowering therapy: High-intensity statin therapy (Atorvastatin 80 mg daily or Rosuvastatin 40 mg daily) initiated regardless of baseline LDL level.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