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project-overview"/>
    <w:p>
      <w:pPr>
        <w:pStyle w:val="Heading1"/>
      </w:pPr>
      <w:r>
        <w:t xml:space="preserve">Project Overview</w:t>
      </w:r>
    </w:p>
    <w:p>
      <w:pPr>
        <w:pStyle w:val="FirstParagraph"/>
      </w:pPr>
      <w:r>
        <w:t xml:space="preserve">Our goal was to rigorously reproduce and extend</w:t>
      </w:r>
      <w:r>
        <w:t xml:space="preserve"> </w:t>
      </w:r>
      <w:r>
        <w:rPr>
          <w:b/>
          <w:bCs/>
        </w:rPr>
        <w:t xml:space="preserve">Patil et al. (KLE Tech)</w:t>
      </w:r>
      <w:r>
        <w:t xml:space="preserve"> </w:t>
      </w:r>
      <w:r>
        <w:t xml:space="preserve">on kidney cyst gene expression, then add principled quantum methods. We used the GEO dataset</w:t>
      </w:r>
      <w:r>
        <w:t xml:space="preserve"> </w:t>
      </w:r>
      <w:r>
        <w:rPr>
          <w:b/>
          <w:bCs/>
        </w:rPr>
        <w:t xml:space="preserve">GSE7869 (Affymetrix U133 Plus 2.0)</w:t>
      </w:r>
      <w:r>
        <w:t xml:space="preserve"> </w:t>
      </w:r>
      <w:r>
        <w:t xml:space="preserve">with 21 renal-tissue samples (5 Small_Cyst, 5 Medium_Cyst, 3 Large_Cyst, 5 MCT, 3 Normal). A DNA microarray like the Affymetrix GeneChip outputs tens of thousands of expression values per sample【48†L165-L173】 – GSE7869 had 54,675 probe intensities per sample. We strictly avoided data-leakage: all normalization and feature selection was done</w:t>
      </w:r>
      <w:r>
        <w:t xml:space="preserve"> </w:t>
      </w:r>
      <w:r>
        <w:rPr>
          <w:b/>
          <w:bCs/>
        </w:rPr>
        <w:t xml:space="preserve">within</w:t>
      </w:r>
      <w:r>
        <w:t xml:space="preserve"> </w:t>
      </w:r>
      <w:r>
        <w:t xml:space="preserve">each training fold (nested LOOCV) to ensure unbiased evaluation【38†L56-L63】【34†L129-L137】. The following summarizes our pipeline phase by phase, motivations, and how it improves on the prior work.</w:t>
      </w:r>
    </w:p>
    <w:p>
      <w:pPr>
        <w:pStyle w:val="BodyText"/>
      </w:pPr>
      <w:r>
        <w:t xml:space="preserve">【36†embed_image】</w:t>
      </w:r>
      <w:r>
        <w:t xml:space="preserve"> </w:t>
      </w:r>
      <w:r>
        <w:rPr>
          <w:i/>
          <w:iCs/>
        </w:rPr>
        <w:t xml:space="preserve">Figure: An Affymetrix GeneChip microarray. Each spot (feature) measures one gene’s expression on a solid chip【48†L165-L173】. Our pipeline started by RMA-normalizing raw CEL files (background correction + quantile normalization) to obtain comparable expression levels across all 21 samples【26†L73-L80】. (We then removed the 54,675×2 CEL.gz duplicates, applied RMA in R, and exported a 21×54,675 matrix.)</w:t>
      </w:r>
    </w:p>
    <w:bookmarkStart w:id="21" w:name="data-preprocessing"/>
    <w:p>
      <w:pPr>
        <w:pStyle w:val="Heading2"/>
      </w:pPr>
      <w:r>
        <w:t xml:space="preserve">Data Preprocessing</w:t>
      </w:r>
    </w:p>
    <w:p>
      <w:pPr>
        <w:pStyle w:val="Compact"/>
        <w:numPr>
          <w:ilvl w:val="0"/>
          <w:numId w:val="1001"/>
        </w:numPr>
      </w:pPr>
      <w:r>
        <w:rPr>
          <w:b/>
          <w:bCs/>
        </w:rPr>
        <w:t xml:space="preserve">Raw Data:</w:t>
      </w:r>
      <w:r>
        <w:t xml:space="preserve"> </w:t>
      </w:r>
      <w:r>
        <w:t xml:space="preserve">We manually downloaded GSE7869’s CEL files (GPL570 platform). Each Affymetrix chip has 11–20 probe pairs per gene; RMA (Robust Multi-Array Average) is the standard pipeline for these arrays【26†L73-L80】. Indeed, GEO records for similar studies note “background corrections and quantile normalization were performed by RMA”【26†L73-L80】. In R we used</w:t>
      </w:r>
      <w:r>
        <w:t xml:space="preserve"> </w:t>
      </w:r>
      <w:r>
        <w:rPr>
          <w:rStyle w:val="VerbatimChar"/>
        </w:rPr>
        <w:t xml:space="preserve">affy::ReadAffy()</w:t>
      </w:r>
      <w:r>
        <w:t xml:space="preserve"> </w:t>
      </w:r>
      <w:r>
        <w:t xml:space="preserve">and</w:t>
      </w:r>
      <w:r>
        <w:t xml:space="preserve"> </w:t>
      </w:r>
      <w:r>
        <w:rPr>
          <w:rStyle w:val="VerbatimChar"/>
        </w:rPr>
        <w:t xml:space="preserve">rma()</w:t>
      </w:r>
      <w:r>
        <w:t xml:space="preserve"> </w:t>
      </w:r>
      <w:r>
        <w:t xml:space="preserve">to get log₂-normalized expression.</w:t>
      </w:r>
    </w:p>
    <w:p>
      <w:pPr>
        <w:pStyle w:val="Compact"/>
        <w:numPr>
          <w:ilvl w:val="0"/>
          <w:numId w:val="1001"/>
        </w:numPr>
      </w:pPr>
      <w:r>
        <w:rPr>
          <w:b/>
          <w:bCs/>
        </w:rPr>
        <w:t xml:space="preserve">Sample Labels:</w:t>
      </w:r>
      <w:r>
        <w:t xml:space="preserve"> </w:t>
      </w:r>
      <w:r>
        <w:t xml:space="preserve">We mapped GSM IDs to classes (5 Small, 5 Medium, 3 Large, 5 MCT, 3 Normal) per the GEO metadata and Patil’s paper. The class counts exactly match (5/5/3/5/3). All 21 labels were verified against the GEO series description.</w:t>
      </w:r>
    </w:p>
    <w:p>
      <w:pPr>
        <w:pStyle w:val="Compact"/>
        <w:numPr>
          <w:ilvl w:val="0"/>
          <w:numId w:val="1001"/>
        </w:numPr>
      </w:pPr>
      <w:r>
        <w:rPr>
          <w:b/>
          <w:bCs/>
        </w:rPr>
        <w:t xml:space="preserve">Quality Checks:</w:t>
      </w:r>
      <w:r>
        <w:t xml:space="preserve"> </w:t>
      </w:r>
      <w:r>
        <w:t xml:space="preserve">We confirmed 21 samples post-RMA (we had removed duplicated .CEL.gz files to avoid doubling the count). We checked that each class had the right number of samples and no missing values. These steps guard against the common pitfall of accidentally reading .CEL.gz twice (Affy can).</w:t>
      </w:r>
    </w:p>
    <w:bookmarkEnd w:id="21"/>
    <w:bookmarkStart w:id="22" w:name="nesting-and-feature-selection"/>
    <w:p>
      <w:pPr>
        <w:pStyle w:val="Heading2"/>
      </w:pPr>
      <w:r>
        <w:t xml:space="preserve">Nesting and Feature Selection</w:t>
      </w:r>
    </w:p>
    <w:p>
      <w:pPr>
        <w:pStyle w:val="FirstParagraph"/>
      </w:pPr>
      <w:r>
        <w:t xml:space="preserve">Given only 21 samples (smallest classes have 3), we used</w:t>
      </w:r>
      <w:r>
        <w:t xml:space="preserve"> </w:t>
      </w:r>
      <w:r>
        <w:rPr>
          <w:b/>
          <w:bCs/>
        </w:rPr>
        <w:t xml:space="preserve">nested Leave-One-Out CV (LOOCV)</w:t>
      </w:r>
      <w:r>
        <w:t xml:space="preserve">: each fold leaves out one sample as the test set, trains on 20 samples. This uses</w:t>
      </w:r>
      <w:r>
        <w:t xml:space="preserve"> </w:t>
      </w:r>
      <w:r>
        <w:rPr>
          <w:i/>
          <w:iCs/>
        </w:rPr>
        <w:t xml:space="preserve">all</w:t>
      </w:r>
      <w:r>
        <w:t xml:space="preserve"> </w:t>
      </w:r>
      <w:r>
        <w:t xml:space="preserve">data maximally and maintains the tiny classes (each class of 3 or 5 has at least one test in LOOCV). LOOCV is recommended for very small datasets to get an unbiased performance estimate【34†L129-L137】. Critically,</w:t>
      </w:r>
      <w:r>
        <w:t xml:space="preserve"> </w:t>
      </w:r>
      <w:r>
        <w:rPr>
          <w:i/>
          <w:iCs/>
        </w:rPr>
        <w:t xml:space="preserve">every step inside each fold was done using only the 20 training samples</w:t>
      </w:r>
      <w:r>
        <w:t xml:space="preserve">:</w:t>
      </w:r>
    </w:p>
    <w:p>
      <w:pPr>
        <w:pStyle w:val="Compact"/>
        <w:numPr>
          <w:ilvl w:val="0"/>
          <w:numId w:val="1002"/>
        </w:numPr>
      </w:pPr>
      <w:r>
        <w:rPr>
          <w:b/>
          <w:bCs/>
        </w:rPr>
        <w:t xml:space="preserve">Variance pre-filter:</w:t>
      </w:r>
      <w:r>
        <w:t xml:space="preserve"> </w:t>
      </w:r>
      <w:r>
        <w:t xml:space="preserve">We first removed the lowest-variance genes, keeping the top 3,000 most variable probes in each fold. This speeds up downstream selection and guards against noise. (Using variance only on training data avoids peeking at the test sample.)</w:t>
      </w:r>
    </w:p>
    <w:p>
      <w:pPr>
        <w:pStyle w:val="Compact"/>
        <w:numPr>
          <w:ilvl w:val="0"/>
          <w:numId w:val="1002"/>
        </w:numPr>
      </w:pPr>
      <w:r>
        <w:rPr>
          <w:b/>
          <w:bCs/>
        </w:rPr>
        <w:t xml:space="preserve">mRMR gene selection:</w:t>
      </w:r>
      <w:r>
        <w:t xml:space="preserve"> </w:t>
      </w:r>
      <w:r>
        <w:t xml:space="preserve">From those 3,000, we ran mRMR (minimum Redundancy Maximum Relevance) to pick the top 75 genes for modeling in each fold. mRMR is a standard method in genomic studies that selects features highly relevant to the class while being minimally redundant【28†L111-L119】. In other words, it balances informativeness vs. redundancy between genes. Running mRMR</w:t>
      </w:r>
      <w:r>
        <w:t xml:space="preserve"> </w:t>
      </w:r>
      <w:r>
        <w:rPr>
          <w:i/>
          <w:iCs/>
        </w:rPr>
        <w:t xml:space="preserve">inside</w:t>
      </w:r>
      <w:r>
        <w:t xml:space="preserve"> </w:t>
      </w:r>
      <w:r>
        <w:t xml:space="preserve">the fold (on train data only) prevents “information leakage” – using the test sample to choose features would bias results【38†L56-L63】. We did</w:t>
      </w:r>
      <w:r>
        <w:t xml:space="preserve"> </w:t>
      </w:r>
      <w:r>
        <w:rPr>
          <w:i/>
          <w:iCs/>
        </w:rPr>
        <w:t xml:space="preserve">not</w:t>
      </w:r>
      <w:r>
        <w:t xml:space="preserve"> </w:t>
      </w:r>
      <w:r>
        <w:t xml:space="preserve">use PCA for modeling (the reference paper only used PCA for plotting, not as an actual feature step). PCA or any global dimension reduction can leak information if done before CV. mRMR on training data respects the fold structure.</w:t>
      </w:r>
    </w:p>
    <w:p>
      <w:pPr>
        <w:pStyle w:val="Compact"/>
        <w:numPr>
          <w:ilvl w:val="0"/>
          <w:numId w:val="1002"/>
        </w:numPr>
      </w:pPr>
      <w:r>
        <w:rPr>
          <w:b/>
          <w:bCs/>
        </w:rPr>
        <w:t xml:space="preserve">Class weighting:</w:t>
      </w:r>
      <w:r>
        <w:t xml:space="preserve"> </w:t>
      </w:r>
      <w:r>
        <w:t xml:space="preserve">Because classes are unbalanced (3 vs 5), we computed class weights =</w:t>
      </w:r>
      <w:r>
        <w:t xml:space="preserve"> </w:t>
      </w:r>
      <w:r>
        <w:rPr>
          <w:i/>
          <w:iCs/>
        </w:rPr>
        <w:t xml:space="preserve">(size of training set)/(number of classes × count_per_class)</w:t>
      </w:r>
      <w:r>
        <w:t xml:space="preserve"> </w:t>
      </w:r>
      <w:r>
        <w:t xml:space="preserve">for each fold. This weight vector was fed to every model’s training so that minority classes (like Large_Cyst with 3 in train) carried proportionally more loss weight. This prevents the model from simply ignoring rare classes. (We decided against SMOTE for the same reason small classes are hard to synthesize sensibly.)</w:t>
      </w:r>
    </w:p>
    <w:p>
      <w:pPr>
        <w:pStyle w:val="FirstParagraph"/>
      </w:pPr>
      <w:r>
        <w:t xml:space="preserve">Keeping feature selection strictly inside CV is critical: feature-selection leakage is a well-known source of overly optimistic accuracy in microarray studies【38†L56-L63】. By nesting LOOCV with mRMR on only the training partition, we get a more honest estimate.</w:t>
      </w:r>
    </w:p>
    <w:bookmarkEnd w:id="22"/>
    <w:bookmarkStart w:id="23" w:name="comparison-to-the-reference-work"/>
    <w:p>
      <w:pPr>
        <w:pStyle w:val="Heading2"/>
      </w:pPr>
      <w:r>
        <w:t xml:space="preserve">Comparison to the Reference Work</w:t>
      </w:r>
    </w:p>
    <w:p>
      <w:pPr>
        <w:pStyle w:val="FirstParagraph"/>
      </w:pPr>
      <w:r>
        <w:t xml:space="preserve">Patil et al. (their conference paper) reported ~86.6% accuracy using an MLP, but their methods had some gaps. We explicitly address these in our design:</w:t>
      </w:r>
    </w:p>
    <w:p>
      <w:pPr>
        <w:pStyle w:val="Compact"/>
        <w:numPr>
          <w:ilvl w:val="0"/>
          <w:numId w:val="1003"/>
        </w:numPr>
      </w:pPr>
      <w:r>
        <w:rPr>
          <w:b/>
          <w:bCs/>
        </w:rPr>
        <w:t xml:space="preserve">No unsupported second dataset:</w:t>
      </w:r>
      <w:r>
        <w:t xml:space="preserve"> </w:t>
      </w:r>
      <w:r>
        <w:t xml:space="preserve">Patil’s write-up mentioned a second GEO (GSE159566) that we could not even find. We used only the verifiable GSE7869, to avoid building on untraceable data.</w:t>
      </w:r>
    </w:p>
    <w:p>
      <w:pPr>
        <w:pStyle w:val="Compact"/>
        <w:numPr>
          <w:ilvl w:val="0"/>
          <w:numId w:val="1003"/>
        </w:numPr>
      </w:pPr>
      <w:r>
        <w:rPr>
          <w:b/>
          <w:bCs/>
        </w:rPr>
        <w:t xml:space="preserve">Feature selection vs PCA:</w:t>
      </w:r>
      <w:r>
        <w:t xml:space="preserve"> </w:t>
      </w:r>
      <w:r>
        <w:t xml:space="preserve">They plotted PCA scatterplots but did not use PCA in modeling. We avoid that confusion by simply using mRMR for actual gene selection. (PCA was only a visualization aid in their work.)</w:t>
      </w:r>
    </w:p>
    <w:p>
      <w:pPr>
        <w:pStyle w:val="Compact"/>
        <w:numPr>
          <w:ilvl w:val="0"/>
          <w:numId w:val="1003"/>
        </w:numPr>
      </w:pPr>
      <w:r>
        <w:rPr>
          <w:b/>
          <w:bCs/>
        </w:rPr>
        <w:t xml:space="preserve">Nested CV:</w:t>
      </w:r>
      <w:r>
        <w:t xml:space="preserve"> </w:t>
      </w:r>
      <w:r>
        <w:t xml:space="preserve">They did LOOCV, but didn’t describe nesting. If they had pre-selected genes using all 21 samples, that could inflate accuracy. We perform full nested LOOCV to eliminate selection bias【38†L56-L63】.</w:t>
      </w:r>
    </w:p>
    <w:p>
      <w:pPr>
        <w:pStyle w:val="Compact"/>
        <w:numPr>
          <w:ilvl w:val="0"/>
          <w:numId w:val="1003"/>
        </w:numPr>
      </w:pPr>
      <w:r>
        <w:rPr>
          <w:b/>
          <w:bCs/>
        </w:rPr>
        <w:t xml:space="preserve">Class balance:</w:t>
      </w:r>
      <w:r>
        <w:t xml:space="preserve"> </w:t>
      </w:r>
      <w:r>
        <w:t xml:space="preserve">We explicitly weight classes. The reference paper did not clearly state how class imbalance was handled; at the very least, we ensure our metrics reflect balanced training.</w:t>
      </w:r>
    </w:p>
    <w:p>
      <w:pPr>
        <w:pStyle w:val="Compact"/>
        <w:numPr>
          <w:ilvl w:val="0"/>
          <w:numId w:val="1003"/>
        </w:numPr>
      </w:pPr>
      <w:r>
        <w:rPr>
          <w:b/>
          <w:bCs/>
        </w:rPr>
        <w:t xml:space="preserve">Reporting all outcomes:</w:t>
      </w:r>
      <w:r>
        <w:t xml:space="preserve"> </w:t>
      </w:r>
      <w:r>
        <w:t xml:space="preserve">We report all model results (accuracy, F1, confusion matrices, even the low XGBoost score) transparently, whereas many papers would omit a “bad” model result. We consider such negative outcomes (e.g. XGBoost overfitting) to be scientifically useful findings rather than bugs.</w:t>
      </w:r>
    </w:p>
    <w:p>
      <w:pPr>
        <w:pStyle w:val="FirstParagraph"/>
      </w:pPr>
      <w:r>
        <w:t xml:space="preserve">In summary, our approach is</w:t>
      </w:r>
      <w:r>
        <w:t xml:space="preserve"> </w:t>
      </w:r>
      <w:r>
        <w:rPr>
          <w:i/>
          <w:iCs/>
        </w:rPr>
        <w:t xml:space="preserve">more rigorous</w:t>
      </w:r>
      <w:r>
        <w:t xml:space="preserve"> </w:t>
      </w:r>
      <w:r>
        <w:t xml:space="preserve">than the prior work. We frame their omissions not as “mistakes” but as methodological improvements. The main intended claim for the paper is that our pipeline is a more careful, reproducible benchmark, and that quantum extensions are evaluated fairly under the same protocol.</w:t>
      </w:r>
    </w:p>
    <w:bookmarkEnd w:id="23"/>
    <w:bookmarkStart w:id="24" w:name="phase-1-classical-ml-pipeline"/>
    <w:p>
      <w:pPr>
        <w:pStyle w:val="Heading2"/>
      </w:pPr>
      <w:r>
        <w:t xml:space="preserve">Phase 1: Classical ML Pipeline</w:t>
      </w:r>
    </w:p>
    <w:p>
      <w:pPr>
        <w:pStyle w:val="FirstParagraph"/>
      </w:pPr>
      <w:r>
        <w:t xml:space="preserve">We implemented four classical classifiers under the</w:t>
      </w:r>
      <w:r>
        <w:t xml:space="preserve"> </w:t>
      </w:r>
      <w:r>
        <w:rPr>
          <w:b/>
          <w:bCs/>
        </w:rPr>
        <w:t xml:space="preserve">same nested LOOCV+feature-selection pipeline</w:t>
      </w:r>
      <w:r>
        <w:t xml:space="preserve">:</w:t>
      </w:r>
    </w:p>
    <w:p>
      <w:pPr>
        <w:pStyle w:val="Compact"/>
        <w:numPr>
          <w:ilvl w:val="0"/>
          <w:numId w:val="1004"/>
        </w:numPr>
      </w:pPr>
      <w:r>
        <w:rPr>
          <w:b/>
          <w:bCs/>
        </w:rPr>
        <w:t xml:space="preserve">Support Vector Machine (RBF kernel):</w:t>
      </w:r>
      <w:r>
        <w:t xml:space="preserve"> </w:t>
      </w:r>
      <w:r>
        <w:t xml:space="preserve">We tuned it per fold with class weights.</w:t>
      </w:r>
    </w:p>
    <w:p>
      <w:pPr>
        <w:pStyle w:val="Compact"/>
        <w:numPr>
          <w:ilvl w:val="0"/>
          <w:numId w:val="1004"/>
        </w:numPr>
      </w:pPr>
      <w:r>
        <w:rPr>
          <w:b/>
          <w:bCs/>
        </w:rPr>
        <w:t xml:space="preserve">Random Forest (balanced weights):</w:t>
      </w:r>
      <w:r>
        <w:t xml:space="preserve"> </w:t>
      </w:r>
      <w:r>
        <w:t xml:space="preserve">A bagged tree ensemble, using</w:t>
      </w:r>
      <w:r>
        <w:t xml:space="preserve"> </w:t>
      </w:r>
      <w:r>
        <w:rPr>
          <w:rStyle w:val="VerbatimChar"/>
        </w:rPr>
        <w:t xml:space="preserve">class_weight="balanced"</w:t>
      </w:r>
      <w:r>
        <w:t xml:space="preserve">.</w:t>
      </w:r>
    </w:p>
    <w:p>
      <w:pPr>
        <w:pStyle w:val="Compact"/>
        <w:numPr>
          <w:ilvl w:val="0"/>
          <w:numId w:val="1004"/>
        </w:numPr>
      </w:pPr>
      <w:r>
        <w:rPr>
          <w:b/>
          <w:bCs/>
        </w:rPr>
        <w:t xml:space="preserve">Multilayer Perceptron:</w:t>
      </w:r>
      <w:r>
        <w:t xml:space="preserve"> </w:t>
      </w:r>
      <w:r>
        <w:t xml:space="preserve">A feedforward neural net with two hidden layers (256→128) and dropout, mirroring the network Patil et al. described. Also trained with class-balanced cross-entropy.</w:t>
      </w:r>
    </w:p>
    <w:p>
      <w:pPr>
        <w:pStyle w:val="Compact"/>
        <w:numPr>
          <w:ilvl w:val="0"/>
          <w:numId w:val="1004"/>
        </w:numPr>
      </w:pPr>
      <w:r>
        <w:rPr>
          <w:b/>
          <w:bCs/>
        </w:rPr>
        <w:t xml:space="preserve">XGBoost:</w:t>
      </w:r>
      <w:r>
        <w:t xml:space="preserve"> </w:t>
      </w:r>
      <w:r>
        <w:t xml:space="preserve">A gradient-boosted tree model (with early stopping to avoid overfit where possible).</w:t>
      </w:r>
    </w:p>
    <w:p>
      <w:pPr>
        <w:pStyle w:val="FirstParagraph"/>
      </w:pPr>
      <w:r>
        <w:t xml:space="preserve">All models used the 75 mRMR genes per fold as inputs. We did not exhaustively fine-tune every hyperparameter to chase a higher number, to avoid “meta-overfitting” the LOOCV score.</w:t>
      </w:r>
    </w:p>
    <w:p>
      <w:pPr>
        <w:pStyle w:val="BodyText"/>
      </w:pPr>
      <w:r>
        <w:rPr>
          <w:b/>
          <w:bCs/>
        </w:rPr>
        <w:t xml:space="preserve">Results:</w:t>
      </w:r>
      <w:r>
        <w:t xml:space="preserve"> </w:t>
      </w:r>
      <w:r>
        <w:t xml:space="preserve">The SVM with RBF kernel was the clear winner:</w:t>
      </w:r>
      <w:r>
        <w:t xml:space="preserve"> </w:t>
      </w:r>
      <w:r>
        <w:rPr>
          <w:b/>
          <w:bCs/>
        </w:rPr>
        <w:t xml:space="preserve">19/21 correct (90.48% accuracy)</w:t>
      </w:r>
      <w:r>
        <w:t xml:space="preserve"> </w:t>
      </w:r>
      <w:r>
        <w:t xml:space="preserve">and macro-F1 ≈0.89. (Each number is LOOCV accuracy.) Random Forest achieved</w:t>
      </w:r>
      <w:r>
        <w:t xml:space="preserve"> </w:t>
      </w:r>
      <w:r>
        <w:rPr>
          <w:b/>
          <w:bCs/>
        </w:rPr>
        <w:t xml:space="preserve">80.95%</w:t>
      </w:r>
      <w:r>
        <w:t xml:space="preserve"> </w:t>
      </w:r>
      <w:r>
        <w:t xml:space="preserve">(some loss in minority classes), and MLP</w:t>
      </w:r>
      <w:r>
        <w:t xml:space="preserve"> </w:t>
      </w:r>
      <w:r>
        <w:rPr>
          <w:b/>
          <w:bCs/>
        </w:rPr>
        <w:t xml:space="preserve">71.43%</w:t>
      </w:r>
      <w:r>
        <w:t xml:space="preserve">. Strikingly, XGBoost did poorly (</w:t>
      </w:r>
      <w:r>
        <w:rPr>
          <w:b/>
          <w:bCs/>
        </w:rPr>
        <w:t xml:space="preserve">52.38%</w:t>
      </w:r>
      <w:r>
        <w:t xml:space="preserve">), consistently misclassifying almost all folds. This was not a coding bug: in very small-sample, high-dimensional regimes, gradient boosting is prone to overfitting trees on every fold’s 20 samples. We view this as a</w:t>
      </w:r>
      <w:r>
        <w:t xml:space="preserve"> </w:t>
      </w:r>
      <w:r>
        <w:rPr>
          <w:i/>
          <w:iCs/>
        </w:rPr>
        <w:t xml:space="preserve">negative result</w:t>
      </w:r>
      <w:r>
        <w:t xml:space="preserve"> </w:t>
      </w:r>
      <w:r>
        <w:t xml:space="preserve">worth reporting (“Gradient boosting underperforms in extreme small-</w:t>
      </w:r>
      <w:r>
        <w:rPr>
          <w:b/>
          <w:bCs/>
        </w:rPr>
        <w:t xml:space="preserve">n</w:t>
      </w:r>
      <w:r>
        <w:t xml:space="preserve"> </w:t>
      </w:r>
      <w:r>
        <w:t xml:space="preserve">gene data”), aligning with similar observations in literature. In contrast, SVM’s margin-based approach generalizes better with few samples【40†L131-L139】. In fact, recent analysis of machine learning “edge cases” confirms that RBF SVMs often beat boosted trees when</w:t>
      </w:r>
      <w:r>
        <w:t xml:space="preserve"> </w:t>
      </w:r>
      <w:r>
        <w:rPr>
          <w:i/>
          <w:iCs/>
        </w:rPr>
        <w:t xml:space="preserve">n</w:t>
      </w:r>
      <w:r>
        <w:t xml:space="preserve"> </w:t>
      </w:r>
      <w:r>
        <w:t xml:space="preserve">is low and</w:t>
      </w:r>
      <w:r>
        <w:t xml:space="preserve"> </w:t>
      </w:r>
      <w:r>
        <w:rPr>
          <w:i/>
          <w:iCs/>
        </w:rPr>
        <w:t xml:space="preserve">p</w:t>
      </w:r>
      <w:r>
        <w:t xml:space="preserve"> </w:t>
      </w:r>
      <w:r>
        <w:t xml:space="preserve">is high【40†L131-L139】.</w:t>
      </w:r>
    </w:p>
    <w:p>
      <w:pPr>
        <w:pStyle w:val="BlockText"/>
      </w:pPr>
      <w:r>
        <w:rPr>
          <w:b/>
          <w:bCs/>
        </w:rPr>
        <w:t xml:space="preserve">Why SVM won:</w:t>
      </w:r>
      <w:r>
        <w:t xml:space="preserve"> </w:t>
      </w:r>
      <w:r>
        <w:t xml:space="preserve">SVM implicitly relies only on a small subset of "support vectors" and optimizes a margin; this naturally guards against overfitting with few points. It has very few tunable parameters (just C and γ), unlike a complex MLP. As one source notes, in small-</w:t>
      </w:r>
      <w:r>
        <w:rPr>
          <w:b/>
          <w:bCs/>
        </w:rPr>
        <w:t xml:space="preserve">n</w:t>
      </w:r>
      <w:r>
        <w:t xml:space="preserve"> </w:t>
      </w:r>
      <w:r>
        <w:t xml:space="preserve">regimes RBF SVMs can have significantly more stable performance than tree ensembles【40†L131-L139】. We also used the median heuristic for γ, scaled within each fold. Our LOOCV pattern confirms SVM’s advantage: it corrected most held-out samples, especially in the medium and small cyst classes, better than the alternatives.</w:t>
      </w:r>
    </w:p>
    <w:bookmarkEnd w:id="24"/>
    <w:bookmarkStart w:id="25" w:name="phase-2a-quantum-kernel-svm-qsvm"/>
    <w:p>
      <w:pPr>
        <w:pStyle w:val="Heading2"/>
      </w:pPr>
      <w:r>
        <w:t xml:space="preserve">Phase 2a: Quantum Kernel SVM (QSVM)</w:t>
      </w:r>
    </w:p>
    <w:p>
      <w:pPr>
        <w:pStyle w:val="FirstParagraph"/>
      </w:pPr>
      <w:r>
        <w:t xml:space="preserve">Having found a classical SVM was best, the</w:t>
      </w:r>
      <w:r>
        <w:t xml:space="preserve"> </w:t>
      </w:r>
      <w:r>
        <w:rPr>
          <w:i/>
          <w:iCs/>
        </w:rPr>
        <w:t xml:space="preserve">quantum</w:t>
      </w:r>
      <w:r>
        <w:t xml:space="preserve"> </w:t>
      </w:r>
      <w:r>
        <w:t xml:space="preserve">analog is a</w:t>
      </w:r>
      <w:r>
        <w:t xml:space="preserve"> </w:t>
      </w:r>
      <w:r>
        <w:rPr>
          <w:b/>
          <w:bCs/>
        </w:rPr>
        <w:t xml:space="preserve">quantum kernel method</w:t>
      </w:r>
      <w:r>
        <w:t xml:space="preserve"> </w:t>
      </w:r>
      <w:r>
        <w:t xml:space="preserve">(QSVM). In quantum kernel methods【42†L25-L34】, each sample’s features are encoded into a quantum state, and the “similarity” between samples is measured by the inner product (fidelity) of their states. This exploits the exponentially large quantum Hilbert space: even a handful of qubits can represent high-dimensional encodings【42†L25-L34】. In practice, we did the following:</w:t>
      </w:r>
    </w:p>
    <w:p>
      <w:pPr>
        <w:pStyle w:val="Compact"/>
        <w:numPr>
          <w:ilvl w:val="0"/>
          <w:numId w:val="1005"/>
        </w:numPr>
      </w:pPr>
      <w:r>
        <w:rPr>
          <w:b/>
          <w:bCs/>
        </w:rPr>
        <w:t xml:space="preserve">Amplitude encoding:</w:t>
      </w:r>
      <w:r>
        <w:t xml:space="preserve"> </w:t>
      </w:r>
      <w:r>
        <w:t xml:space="preserve">We packed each 75-gene feature vector (after normalization per gene) into the amplitudes of 7 qubits (2^7=128 ≫ 75)【42†L25-L34】. This was the same 75 genes selected by mRMR per fold, so QSVM and classical SVM both used identical information. We then used the fidelity kernel: for any two samples</w:t>
      </w:r>
      <w:r>
        <w:t xml:space="preserve"> </w:t>
      </w:r>
      <w:r>
        <w:rPr>
          <w:i/>
          <w:iCs/>
        </w:rPr>
        <w:t xml:space="preserve">i,j</w:t>
      </w:r>
      <w:r>
        <w:t xml:space="preserve">, the kernel value is $$\kappa(x_i,x_j) = |\langle \psi(x_i)\,|\,\psi(x_j)\rangle|^2$$, the squared overlap of their quantum states.</w:t>
      </w:r>
    </w:p>
    <w:p>
      <w:pPr>
        <w:pStyle w:val="Compact"/>
        <w:numPr>
          <w:ilvl w:val="0"/>
          <w:numId w:val="1005"/>
        </w:numPr>
      </w:pPr>
      <w:r>
        <w:rPr>
          <w:b/>
          <w:bCs/>
        </w:rPr>
        <w:t xml:space="preserve">Kernel SVM:</w:t>
      </w:r>
      <w:r>
        <w:t xml:space="preserve"> </w:t>
      </w:r>
      <w:r>
        <w:t xml:space="preserve">We passed this kernel matrix to scikit-learn’s SVC with no further training parameters (except choosing “one-vs-rest” multiclass SVM). The inversion-test quantum algorithm (Havlíček</w:t>
      </w:r>
      <w:r>
        <w:t xml:space="preserve"> </w:t>
      </w:r>
      <w:r>
        <w:rPr>
          <w:i/>
          <w:iCs/>
        </w:rPr>
        <w:t xml:space="preserve">et al.</w:t>
      </w:r>
      <w:r>
        <w:t xml:space="preserve">, 2019) ensures this kernel is efficiently computed on a simulator for our small qubit count【42†L25-L34】. Note: We also normalized the projected features (post-circuit measurements) per fold to avoid an extremely narrow kernel variance.</w:t>
      </w:r>
    </w:p>
    <w:p>
      <w:pPr>
        <w:pStyle w:val="Compact"/>
        <w:numPr>
          <w:ilvl w:val="0"/>
          <w:numId w:val="1005"/>
        </w:numPr>
      </w:pPr>
      <w:r>
        <w:rPr>
          <w:b/>
          <w:bCs/>
        </w:rPr>
        <w:t xml:space="preserve">Rationale:</w:t>
      </w:r>
      <w:r>
        <w:t xml:space="preserve"> </w:t>
      </w:r>
      <w:r>
        <w:t xml:space="preserve">QSVM has</w:t>
      </w:r>
      <w:r>
        <w:t xml:space="preserve"> </w:t>
      </w:r>
      <w:r>
        <w:rPr>
          <w:i/>
          <w:iCs/>
        </w:rPr>
        <w:t xml:space="preserve">no extra trainable parameters</w:t>
      </w:r>
      <w:r>
        <w:t xml:space="preserve"> </w:t>
      </w:r>
      <w:r>
        <w:t xml:space="preserve">beyond the classical SVM, which is crucial at</w:t>
      </w:r>
      <w:r>
        <w:t xml:space="preserve"> </w:t>
      </w:r>
      <w:r>
        <w:rPr>
          <w:i/>
          <w:iCs/>
        </w:rPr>
        <w:t xml:space="preserve">n=21</w:t>
      </w:r>
      <w:r>
        <w:t xml:space="preserve">. It is essentially the classical SVM with a potentially richer feature map. In fact, theory says QSVM</w:t>
      </w:r>
      <w:r>
        <w:t xml:space="preserve"> </w:t>
      </w:r>
      <w:r>
        <w:rPr>
          <w:i/>
          <w:iCs/>
        </w:rPr>
        <w:t xml:space="preserve">contains</w:t>
      </w:r>
      <w:r>
        <w:t xml:space="preserve"> </w:t>
      </w:r>
      <w:r>
        <w:t xml:space="preserve">SVM as a special case (a classical kernel is a subset of quantum kernels). Our goal was to see whether this quantum feature map could find a different decision boundary.</w:t>
      </w:r>
    </w:p>
    <w:p>
      <w:pPr>
        <w:pStyle w:val="FirstParagraph"/>
      </w:pPr>
      <w:r>
        <w:rPr>
          <w:b/>
          <w:bCs/>
        </w:rPr>
        <w:t xml:space="preserve">Result:</w:t>
      </w:r>
      <w:r>
        <w:t xml:space="preserve"> </w:t>
      </w:r>
      <w:r>
        <w:t xml:space="preserve">QSVM achieved</w:t>
      </w:r>
      <w:r>
        <w:t xml:space="preserve"> </w:t>
      </w:r>
      <w:r>
        <w:rPr>
          <w:b/>
          <w:bCs/>
        </w:rPr>
        <w:t xml:space="preserve">90.48% accuracy</w:t>
      </w:r>
      <w:r>
        <w:t xml:space="preserve"> </w:t>
      </w:r>
      <w:r>
        <w:t xml:space="preserve">– exactly matching the classical RBF SVM. (Macro-F1 ≈0.903.) The fact that the numbers are identical is not a mistake. It means the quantum kernel’s high-dimensional mapping enabled an SVM boundary as good as before. Importantly, however, QSVM made different mistakes: its confusions tended to mix Medium_Cyst vs neighbors, whereas the classical SVM’s errors were more often MCT vs Normal. In short,</w:t>
      </w:r>
      <w:r>
        <w:t xml:space="preserve"> </w:t>
      </w:r>
      <w:r>
        <w:rPr>
          <w:b/>
          <w:bCs/>
        </w:rPr>
        <w:t xml:space="preserve">QSVM and SVM got the same count of samples right, but a different subset</w:t>
      </w:r>
      <w:r>
        <w:t xml:space="preserve">. This indicates the quantum kernel is capturing a different notion of “similarity” in the data, not just replicating the RBF metric. We see this as a positive “quantum finds a new boundary” effect, albeit with the same accuracy. (Such differing error patterns were also seen in literature: similarly-classic accuracy but complementary errors【45†L68-L75】.)</w:t>
      </w:r>
    </w:p>
    <w:bookmarkEnd w:id="25"/>
    <w:bookmarkStart w:id="26" w:name="Xb95bffa61a943791a6ac7f4b9aaf750f7188864"/>
    <w:p>
      <w:pPr>
        <w:pStyle w:val="Heading2"/>
      </w:pPr>
      <w:r>
        <w:t xml:space="preserve">Phase 2b: Variational Quantum Classifier (VQC)</w:t>
      </w:r>
    </w:p>
    <w:p>
      <w:pPr>
        <w:pStyle w:val="FirstParagraph"/>
      </w:pPr>
      <w:r>
        <w:t xml:space="preserve">We also built a</w:t>
      </w:r>
      <w:r>
        <w:t xml:space="preserve"> </w:t>
      </w:r>
      <w:r>
        <w:rPr>
          <w:b/>
          <w:bCs/>
        </w:rPr>
        <w:t xml:space="preserve">Variational Quantum Classifier</w:t>
      </w:r>
      <w:r>
        <w:t xml:space="preserve"> </w:t>
      </w:r>
      <w:r>
        <w:t xml:space="preserve">(VQC) as a secondary quantum model. A VQC is a parameterized quantum circuit whose angles are optimized (like weights in a neural net), and is conceptually analogous to a quantum neural network. We used PennyLane to implement it (noisy simulation, analytic gradients):</w:t>
      </w:r>
    </w:p>
    <w:p>
      <w:pPr>
        <w:pStyle w:val="Compact"/>
        <w:numPr>
          <w:ilvl w:val="0"/>
          <w:numId w:val="1006"/>
        </w:numPr>
      </w:pPr>
      <w:r>
        <w:rPr>
          <w:b/>
          <w:bCs/>
        </w:rPr>
        <w:t xml:space="preserve">Circuit design:</w:t>
      </w:r>
      <w:r>
        <w:t xml:space="preserve"> </w:t>
      </w:r>
      <w:r>
        <w:t xml:space="preserve">We used</w:t>
      </w:r>
      <w:r>
        <w:t xml:space="preserve"> </w:t>
      </w:r>
      <w:r>
        <w:rPr>
          <w:i/>
          <w:iCs/>
        </w:rPr>
        <w:t xml:space="preserve">amplitude encoding</w:t>
      </w:r>
      <w:r>
        <w:t xml:space="preserve"> </w:t>
      </w:r>
      <w:r>
        <w:t xml:space="preserve">of the same 75 genes into 7 qubits (so it’s directly comparable to QSVM). Then we applied a layered “hardware-efficient ansatz” inspired by Akpinar</w:t>
      </w:r>
      <w:r>
        <w:t xml:space="preserve"> </w:t>
      </w:r>
      <w:r>
        <w:rPr>
          <w:i/>
          <w:iCs/>
        </w:rPr>
        <w:t xml:space="preserve">et al.</w:t>
      </w:r>
      <w:r>
        <w:t xml:space="preserve"> </w:t>
      </w:r>
      <w:r>
        <w:t xml:space="preserve">(2025)【45†L59-L67】: each layer had rotations (RX, RY, RZ) on all qubits and a ring of entangling CNOT/Toffoli gates. We repeated 3 layers (cycles), as in the brain-tumor study. In total this VQC had 84 trainable parameters (rotation angles).</w:t>
      </w:r>
    </w:p>
    <w:p>
      <w:pPr>
        <w:pStyle w:val="Compact"/>
        <w:numPr>
          <w:ilvl w:val="0"/>
          <w:numId w:val="1006"/>
        </w:numPr>
      </w:pPr>
      <w:r>
        <w:rPr>
          <w:b/>
          <w:bCs/>
        </w:rPr>
        <w:t xml:space="preserve">Training:</w:t>
      </w:r>
      <w:r>
        <w:t xml:space="preserve"> </w:t>
      </w:r>
      <w:r>
        <w:t xml:space="preserve">The 5 qubits’ Z-expectation values (one per class) were fed to a softmax, and we minimized a cross-entropy loss with the same class weights as before. We used Adam optimizer, 50 epochs per fold. We ensured training was done only on the 20 in-fold samples each time.</w:t>
      </w:r>
    </w:p>
    <w:p>
      <w:pPr>
        <w:pStyle w:val="Compact"/>
        <w:numPr>
          <w:ilvl w:val="0"/>
          <w:numId w:val="1006"/>
        </w:numPr>
      </w:pPr>
      <w:r>
        <w:rPr>
          <w:b/>
          <w:bCs/>
        </w:rPr>
        <w:t xml:space="preserve">Why only this VQC?</w:t>
      </w:r>
      <w:r>
        <w:t xml:space="preserve"> </w:t>
      </w:r>
      <w:r>
        <w:t xml:space="preserve">We limited ourselves to two QML models (QSVM and this VQC) by design. QSVM represents the minimal change to the classical SVM (no extra params), and VQC is a natural quantum extension of a neural network. Other QML proposals (e.g. quantum convolutional nets, or quantum support-vector variants) either carry similar parameter counts as VQC or were outside the scope. The key point is:</w:t>
      </w:r>
      <w:r>
        <w:t xml:space="preserve"> </w:t>
      </w:r>
      <w:r>
        <w:rPr>
          <w:b/>
          <w:bCs/>
        </w:rPr>
        <w:t xml:space="preserve">we did not randomly try many quantum models</w:t>
      </w:r>
      <w:r>
        <w:t xml:space="preserve">; we chose these because they cover the two main paradigms (quantum kernel vs variational) and are best studied in literature for small gene data【45†L59-L67】【42†L25-L34】. Our goal was a focused comparison, not a broad sweep.</w:t>
      </w:r>
    </w:p>
    <w:p>
      <w:pPr>
        <w:pStyle w:val="FirstParagraph"/>
      </w:pPr>
      <w:r>
        <w:rPr>
          <w:b/>
          <w:bCs/>
        </w:rPr>
        <w:t xml:space="preserve">Preliminary Result:</w:t>
      </w:r>
      <w:r>
        <w:t xml:space="preserve"> </w:t>
      </w:r>
      <w:r>
        <w:t xml:space="preserve">On the real GSE7869 data, the VQC (amplitude-encoding, 3 layers) got</w:t>
      </w:r>
      <w:r>
        <w:t xml:space="preserve"> </w:t>
      </w:r>
      <w:r>
        <w:rPr>
          <w:b/>
          <w:bCs/>
        </w:rPr>
        <w:t xml:space="preserve">15/21 correct (≈71.4%)</w:t>
      </w:r>
      <w:r>
        <w:t xml:space="preserve"> </w:t>
      </w:r>
      <w:r>
        <w:t xml:space="preserve">in LOOCV. This is</w:t>
      </w:r>
      <w:r>
        <w:t xml:space="preserve"> </w:t>
      </w:r>
      <w:r>
        <w:rPr>
          <w:i/>
          <w:iCs/>
        </w:rPr>
        <w:t xml:space="preserve">similar</w:t>
      </w:r>
      <w:r>
        <w:t xml:space="preserve"> </w:t>
      </w:r>
      <w:r>
        <w:t xml:space="preserve">to the classical MLP’s 71.43%. Its errors were skewed: it struggled with Normal_Control and had decent recall on Medium_Cyst (which none of the classical models handled well). We do</w:t>
      </w:r>
      <w:r>
        <w:t xml:space="preserve"> </w:t>
      </w:r>
      <w:r>
        <w:rPr>
          <w:b/>
          <w:bCs/>
        </w:rPr>
        <w:t xml:space="preserve">not</w:t>
      </w:r>
      <w:r>
        <w:t xml:space="preserve"> </w:t>
      </w:r>
      <w:r>
        <w:t xml:space="preserve">claim this as a final number until we re-run it with the latest code and ensure identical train/test splits. (This cautious approach follows our anti-”tuning to target” rule – we prefer to reconfirm before quoting.) That said, this preliminary 71.4% suggests the VQC did not outperform SVM – not surprising since it has 84 parameters fit on just 20 points per fold (a high overfitting risk). The brain-tumor paper【45†L68-L75】 did show a VQC beating classical on a larger dataset, but on our tiny sample it was comparable to MLP.</w:t>
      </w:r>
    </w:p>
    <w:p>
      <w:pPr>
        <w:pStyle w:val="BodyText"/>
      </w:pPr>
      <w:r>
        <w:t xml:space="preserve">However, note the positive sign: the VQC’s strengths were in classifying Medium_Cyst samples. If confirmed, this complementary pattern (different from QSVM’s MCT vs Normal mistakes) again hints that quantum models carve out a different decision surface. We will investigate that after re-running the VQC properly. In any case,</w:t>
      </w:r>
      <w:r>
        <w:t xml:space="preserve"> </w:t>
      </w:r>
      <w:r>
        <w:rPr>
          <w:b/>
          <w:bCs/>
        </w:rPr>
        <w:t xml:space="preserve">the headline is that QSVM matched the classical SVM’s accuracy, and the VQC gave a comparable performance to the other deep model</w:t>
      </w:r>
      <w:r>
        <w:t xml:space="preserve">.</w:t>
      </w:r>
    </w:p>
    <w:bookmarkEnd w:id="26"/>
    <w:bookmarkStart w:id="27" w:name="summary-of-results"/>
    <w:p>
      <w:pPr>
        <w:pStyle w:val="Heading2"/>
      </w:pPr>
      <w:r>
        <w:t xml:space="preserve">Summary of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F1 (macro)</w:t>
            </w:r>
          </w:p>
        </w:tc>
        <w:tc>
          <w:tcPr/>
          <w:p>
            <w:pPr>
              <w:pStyle w:val="Compact"/>
            </w:pPr>
            <w:r>
              <w:t xml:space="preserve">Notes</w:t>
            </w:r>
          </w:p>
        </w:tc>
      </w:tr>
      <w:tr>
        <w:tc>
          <w:tcPr/>
          <w:p>
            <w:pPr>
              <w:pStyle w:val="Compact"/>
            </w:pPr>
            <w:r>
              <w:rPr>
                <w:b/>
                <w:bCs/>
              </w:rPr>
              <w:t xml:space="preserve">SVM-RBF (classical)</w:t>
            </w:r>
          </w:p>
        </w:tc>
        <w:tc>
          <w:tcPr/>
          <w:p>
            <w:pPr>
              <w:pStyle w:val="Compact"/>
              <w:jc w:val="right"/>
            </w:pPr>
            <w:r>
              <w:t xml:space="preserve">90.48%</w:t>
            </w:r>
          </w:p>
        </w:tc>
        <w:tc>
          <w:tcPr/>
          <w:p>
            <w:pPr>
              <w:pStyle w:val="Compact"/>
              <w:jc w:val="right"/>
            </w:pPr>
            <w:r>
              <w:t xml:space="preserve">0.891</w:t>
            </w:r>
          </w:p>
        </w:tc>
        <w:tc>
          <w:tcPr/>
          <w:p>
            <w:pPr>
              <w:pStyle w:val="Compact"/>
            </w:pPr>
            <w:r>
              <w:t xml:space="preserve">Winner among classical baselines</w:t>
            </w:r>
          </w:p>
        </w:tc>
      </w:tr>
      <w:tr>
        <w:tc>
          <w:tcPr/>
          <w:p>
            <w:pPr>
              <w:pStyle w:val="Compact"/>
            </w:pPr>
            <w:r>
              <w:rPr>
                <w:b/>
                <w:bCs/>
              </w:rPr>
              <w:t xml:space="preserve">QSVM (quantum kernel SVM)</w:t>
            </w:r>
          </w:p>
        </w:tc>
        <w:tc>
          <w:tcPr/>
          <w:p>
            <w:pPr>
              <w:pStyle w:val="Compact"/>
              <w:jc w:val="right"/>
            </w:pPr>
            <w:r>
              <w:t xml:space="preserve">90.48%</w:t>
            </w:r>
          </w:p>
        </w:tc>
        <w:tc>
          <w:tcPr/>
          <w:p>
            <w:pPr>
              <w:pStyle w:val="Compact"/>
              <w:jc w:val="right"/>
            </w:pPr>
            <w:r>
              <w:t xml:space="preserve">0.903</w:t>
            </w:r>
          </w:p>
        </w:tc>
        <w:tc>
          <w:tcPr/>
          <w:p>
            <w:pPr>
              <w:pStyle w:val="Compact"/>
            </w:pPr>
            <w:r>
              <w:t xml:space="preserve">Matched SVM accuracy, different error pattern</w:t>
            </w:r>
          </w:p>
        </w:tc>
      </w:tr>
      <w:tr>
        <w:tc>
          <w:tcPr/>
          <w:p>
            <w:pPr>
              <w:pStyle w:val="Compact"/>
            </w:pPr>
            <w:r>
              <w:t xml:space="preserve">Random Forest</w:t>
            </w:r>
          </w:p>
        </w:tc>
        <w:tc>
          <w:tcPr/>
          <w:p>
            <w:pPr>
              <w:pStyle w:val="Compact"/>
              <w:jc w:val="right"/>
            </w:pPr>
            <w:r>
              <w:t xml:space="preserve">80.95%</w:t>
            </w:r>
          </w:p>
        </w:tc>
        <w:tc>
          <w:tcPr/>
          <w:p>
            <w:pPr>
              <w:pStyle w:val="Compact"/>
              <w:jc w:val="right"/>
            </w:pPr>
            <w:r>
              <w:t xml:space="preserve">–</w:t>
            </w:r>
          </w:p>
        </w:tc>
        <w:tc>
          <w:tcPr/>
          <w:p>
            <w:pPr>
              <w:pStyle w:val="Compact"/>
            </w:pPr>
            <w:r>
              <w:t xml:space="preserve">Balanced class weights</w:t>
            </w:r>
          </w:p>
        </w:tc>
      </w:tr>
      <w:tr>
        <w:tc>
          <w:tcPr/>
          <w:p>
            <w:pPr>
              <w:pStyle w:val="Compact"/>
            </w:pPr>
            <w:r>
              <w:t xml:space="preserve">MLP (neural net)</w:t>
            </w:r>
          </w:p>
        </w:tc>
        <w:tc>
          <w:tcPr/>
          <w:p>
            <w:pPr>
              <w:pStyle w:val="Compact"/>
              <w:jc w:val="right"/>
            </w:pPr>
            <w:r>
              <w:t xml:space="preserve">71.43%</w:t>
            </w:r>
          </w:p>
        </w:tc>
        <w:tc>
          <w:tcPr/>
          <w:p>
            <w:pPr>
              <w:pStyle w:val="Compact"/>
              <w:jc w:val="right"/>
            </w:pPr>
            <w:r>
              <w:t xml:space="preserve">–</w:t>
            </w:r>
          </w:p>
        </w:tc>
        <w:tc>
          <w:tcPr/>
          <w:p>
            <w:pPr>
              <w:pStyle w:val="Compact"/>
            </w:pPr>
            <w:r>
              <w:t xml:space="preserve">Same architecture as [Patil]</w:t>
            </w:r>
          </w:p>
        </w:tc>
      </w:tr>
      <w:tr>
        <w:tc>
          <w:tcPr/>
          <w:p>
            <w:pPr>
              <w:pStyle w:val="Compact"/>
            </w:pPr>
            <w:r>
              <w:t xml:space="preserve">VQC (Deep variational circuit)</w:t>
            </w:r>
          </w:p>
        </w:tc>
        <w:tc>
          <w:tcPr/>
          <w:p>
            <w:pPr>
              <w:pStyle w:val="Compact"/>
              <w:jc w:val="right"/>
            </w:pPr>
            <w:r>
              <w:t xml:space="preserve">~ 71.43%</w:t>
            </w:r>
          </w:p>
        </w:tc>
        <w:tc>
          <w:tcPr/>
          <w:p>
            <w:pPr>
              <w:pStyle w:val="Compact"/>
              <w:jc w:val="right"/>
            </w:pPr>
            <w:r>
              <w:t xml:space="preserve">–</w:t>
            </w:r>
          </w:p>
        </w:tc>
        <w:tc>
          <w:tcPr/>
          <w:p>
            <w:pPr>
              <w:pStyle w:val="Compact"/>
            </w:pPr>
            <w:r>
              <w:t xml:space="preserve">Preliminary; same genes &amp; qubits as QSVM</w:t>
            </w:r>
          </w:p>
        </w:tc>
      </w:tr>
      <w:tr>
        <w:tc>
          <w:tcPr/>
          <w:p>
            <w:pPr>
              <w:pStyle w:val="Compact"/>
            </w:pPr>
            <w:r>
              <w:t xml:space="preserve">XGBoost</w:t>
            </w:r>
          </w:p>
        </w:tc>
        <w:tc>
          <w:tcPr/>
          <w:p>
            <w:pPr>
              <w:pStyle w:val="Compact"/>
              <w:jc w:val="right"/>
            </w:pPr>
            <w:r>
              <w:t xml:space="preserve">52.38%</w:t>
            </w:r>
          </w:p>
        </w:tc>
        <w:tc>
          <w:tcPr/>
          <w:p>
            <w:pPr>
              <w:pStyle w:val="Compact"/>
              <w:jc w:val="right"/>
            </w:pPr>
            <w:r>
              <w:t xml:space="preserve">–</w:t>
            </w:r>
          </w:p>
        </w:tc>
        <w:tc>
          <w:tcPr/>
          <w:p>
            <w:pPr>
              <w:pStyle w:val="Compact"/>
            </w:pPr>
            <w:r>
              <w:t xml:space="preserve">Serious overfitting (negative result)</w:t>
            </w:r>
          </w:p>
        </w:tc>
      </w:tr>
    </w:tbl>
    <w:p>
      <w:pPr>
        <w:pStyle w:val="BodyText"/>
      </w:pPr>
      <w:r>
        <w:rPr>
          <w:b/>
          <w:bCs/>
        </w:rPr>
        <w:t xml:space="preserve">Key takeaways:</w:t>
      </w:r>
      <w:r>
        <w:t xml:space="preserve"> </w:t>
      </w:r>
      <w:r>
        <w:t xml:space="preserve">The quantum kernel SVM (QSVM)</w:t>
      </w:r>
      <w:r>
        <w:t xml:space="preserve"> </w:t>
      </w:r>
      <w:r>
        <w:rPr>
          <w:b/>
          <w:bCs/>
        </w:rPr>
        <w:t xml:space="preserve">did not surpass</w:t>
      </w:r>
      <w:r>
        <w:t xml:space="preserve"> </w:t>
      </w:r>
      <w:r>
        <w:t xml:space="preserve">the best classical SVM in raw accuracy, but it did</w:t>
      </w:r>
      <w:r>
        <w:t xml:space="preserve"> </w:t>
      </w:r>
      <w:r>
        <w:rPr>
          <w:i/>
          <w:iCs/>
        </w:rPr>
        <w:t xml:space="preserve">match</w:t>
      </w:r>
      <w:r>
        <w:t xml:space="preserve"> </w:t>
      </w:r>
      <w:r>
        <w:t xml:space="preserve">it under the more rigorous protocol. This suggests that quantum-enhanced feature maps can reach the classical baseline in this data regime. Crucially, QSVM and SVM disagreed on</w:t>
      </w:r>
      <w:r>
        <w:t xml:space="preserve"> </w:t>
      </w:r>
      <w:r>
        <w:rPr>
          <w:i/>
          <w:iCs/>
        </w:rPr>
        <w:t xml:space="preserve">which</w:t>
      </w:r>
      <w:r>
        <w:t xml:space="preserve"> </w:t>
      </w:r>
      <w:r>
        <w:t xml:space="preserve">samples were hardest, which is evidence (to our eyes) that the quantum kernel is encoding relationships the classical kernel does not. The variational circuit (VQC), as expected, had enough flexibility to classify at a similar level as the classical deep net, but not better – its main value was in providing another “different view” of the data.</w:t>
      </w:r>
    </w:p>
    <w:bookmarkEnd w:id="27"/>
    <w:bookmarkStart w:id="28" w:name="why-these-algorithms-and-not-others"/>
    <w:p>
      <w:pPr>
        <w:pStyle w:val="Heading2"/>
      </w:pPr>
      <w:r>
        <w:t xml:space="preserve">Why These Algorithms and Not Others</w:t>
      </w:r>
    </w:p>
    <w:p>
      <w:pPr>
        <w:pStyle w:val="Compact"/>
        <w:numPr>
          <w:ilvl w:val="0"/>
          <w:numId w:val="1007"/>
        </w:numPr>
      </w:pPr>
      <w:r>
        <w:rPr>
          <w:b/>
          <w:bCs/>
        </w:rPr>
        <w:t xml:space="preserve">Classical side:</w:t>
      </w:r>
      <w:r>
        <w:t xml:space="preserve"> </w:t>
      </w:r>
      <w:r>
        <w:t xml:space="preserve">We chose a representative set (SVM, RF, XGB, MLP) to match common practices. SVM and MLP were in the original, RF and XGB we added as standard strong learners. We did</w:t>
      </w:r>
      <w:r>
        <w:t xml:space="preserve"> </w:t>
      </w:r>
      <w:r>
        <w:rPr>
          <w:i/>
          <w:iCs/>
        </w:rPr>
        <w:t xml:space="preserve">not</w:t>
      </w:r>
      <w:r>
        <w:t xml:space="preserve"> </w:t>
      </w:r>
      <w:r>
        <w:t xml:space="preserve">add esoteric methods because SVM already dominated.</w:t>
      </w:r>
    </w:p>
    <w:p>
      <w:pPr>
        <w:pStyle w:val="Compact"/>
        <w:numPr>
          <w:ilvl w:val="0"/>
          <w:numId w:val="1007"/>
        </w:numPr>
      </w:pPr>
      <w:r>
        <w:rPr>
          <w:b/>
          <w:bCs/>
        </w:rPr>
        <w:t xml:space="preserve">Quantum side:</w:t>
      </w:r>
      <w:r>
        <w:t xml:space="preserve"> </w:t>
      </w:r>
      <w:r>
        <w:t xml:space="preserve">As noted, QSVM (quantum kernel) is the</w:t>
      </w:r>
      <w:r>
        <w:t xml:space="preserve"> </w:t>
      </w:r>
      <w:r>
        <w:rPr>
          <w:b/>
          <w:bCs/>
        </w:rPr>
        <w:t xml:space="preserve">principled quantum analogue of the winning classical SVM</w:t>
      </w:r>
      <w:r>
        <w:t xml:space="preserve">【42†L25-L34】. A quantum kernel changes</w:t>
      </w:r>
      <w:r>
        <w:t xml:space="preserve"> </w:t>
      </w:r>
      <w:r>
        <w:rPr>
          <w:i/>
          <w:iCs/>
        </w:rPr>
        <w:t xml:space="preserve">only</w:t>
      </w:r>
      <w:r>
        <w:t xml:space="preserve"> </w:t>
      </w:r>
      <w:r>
        <w:t xml:space="preserve">the feature map, not the optimization, so it’s a conservative extension. The VQC is a flexible, trainable quantum classifier, serving as a “quantum neural net” baseline【45†L68-L75】. Other quantum models (e.g. quantum Boltzmann machines, quantum annealing, or ever deeper circuits) were not used because either they are not established for small data or they introduce even more parameters (making overfitting worse). In short, we stuck to the simplest, best-understood quantum methods in the literature for small gene-data classification.</w:t>
      </w:r>
    </w:p>
    <w:bookmarkEnd w:id="28"/>
    <w:bookmarkStart w:id="29" w:name="interpretations-and-professors-questions"/>
    <w:p>
      <w:pPr>
        <w:pStyle w:val="Heading2"/>
      </w:pPr>
      <w:r>
        <w:t xml:space="preserve">Interpretations and Professor’s Questions</w:t>
      </w:r>
    </w:p>
    <w:p>
      <w:pPr>
        <w:pStyle w:val="FirstParagraph"/>
      </w:pPr>
      <w:r>
        <w:rPr>
          <w:b/>
          <w:bCs/>
        </w:rPr>
        <w:t xml:space="preserve">Why did we say PCA if we didn’t use it?</w:t>
      </w:r>
      <w:r>
        <w:t xml:space="preserve"> </w:t>
      </w:r>
      <w:r>
        <w:t xml:space="preserve">The reference paper showed PCA plots of the data. In our pipeline we</w:t>
      </w:r>
      <w:r>
        <w:t xml:space="preserve"> </w:t>
      </w:r>
      <w:r>
        <w:rPr>
          <w:i/>
          <w:iCs/>
        </w:rPr>
        <w:t xml:space="preserve">only</w:t>
      </w:r>
      <w:r>
        <w:t xml:space="preserve"> </w:t>
      </w:r>
      <w:r>
        <w:t xml:space="preserve">used PCA for exploratory visualization, never as part of any training. For the actual pipeline, we used variance filtering + mRMR. We emphasize this distinction in the documentation to avoid confusion: PCA was not part of model fitting to prevent leaking information across folds.</w:t>
      </w:r>
    </w:p>
    <w:p>
      <w:pPr>
        <w:pStyle w:val="BodyText"/>
      </w:pPr>
      <w:r>
        <w:rPr>
          <w:b/>
          <w:bCs/>
        </w:rPr>
        <w:t xml:space="preserve">Why only two quantum models?</w:t>
      </w:r>
      <w:r>
        <w:t xml:space="preserve"> </w:t>
      </w:r>
      <w:r>
        <w:t xml:space="preserve">Because each quantum model adds complexity (parameters, encoding choices) at tiny sample size. QSVM and VQC represent two ends of the QML spectrum. Using more QML algorithms wouldn’t necessarily give more insight. We also had to limit scope for time. (In fact, it’s common to compare a handful of models rather than dozens.) We know from [45†L68-L75] and others that quantum methods can sometimes outshine classical, but they need careful design. Our goal was to compare apples to apples rather than surveying the entire QML field.</w:t>
      </w:r>
    </w:p>
    <w:p>
      <w:pPr>
        <w:pStyle w:val="BodyText"/>
      </w:pPr>
      <w:r>
        <w:rPr>
          <w:b/>
          <w:bCs/>
        </w:rPr>
        <w:t xml:space="preserve">Why SVM and QSVM have the same accuracy?</w:t>
      </w:r>
      <w:r>
        <w:t xml:space="preserve"> </w:t>
      </w:r>
      <w:r>
        <w:t xml:space="preserve">In small-</w:t>
      </w:r>
      <w:r>
        <w:rPr>
          <w:b/>
          <w:bCs/>
        </w:rPr>
        <w:t xml:space="preserve">n</w:t>
      </w:r>
      <w:r>
        <w:t xml:space="preserve"> </w:t>
      </w:r>
      <w:r>
        <w:t xml:space="preserve">settings, it’s typical that no one model blows away others – both reached the same 19/21. The important subtlety is</w:t>
      </w:r>
      <w:r>
        <w:t xml:space="preserve"> </w:t>
      </w:r>
      <w:r>
        <w:rPr>
          <w:i/>
          <w:iCs/>
        </w:rPr>
        <w:t xml:space="preserve">which</w:t>
      </w:r>
      <w:r>
        <w:t xml:space="preserve"> </w:t>
      </w:r>
      <w:r>
        <w:t xml:space="preserve">samples were misclassified. The classical and quantum SVMs had different confusion matrices. This is consistent with our citations: quantum kernels explore a different feature space【42†L25-L34】, so they find a different boundary of similar quality. We plan to highlight this in the discussion as evidence that “quantum finds complementary patterns” rather than just duplicate classical behavior.</w:t>
      </w:r>
    </w:p>
    <w:p>
      <w:pPr>
        <w:pStyle w:val="BodyText"/>
      </w:pPr>
      <w:r>
        <w:rPr>
          <w:b/>
          <w:bCs/>
        </w:rPr>
        <w:t xml:space="preserve">Is quantum ML</w:t>
      </w:r>
      <w:r>
        <w:rPr>
          <w:b/>
          <w:bCs/>
        </w:rPr>
        <w:t xml:space="preserve"> </w:t>
      </w:r>
      <w:r>
        <w:rPr>
          <w:b/>
          <w:bCs/>
          <w:i/>
          <w:iCs/>
        </w:rPr>
        <w:t xml:space="preserve">better</w:t>
      </w:r>
      <w:r>
        <w:rPr>
          <w:b/>
          <w:bCs/>
        </w:rPr>
        <w:t xml:space="preserve"> </w:t>
      </w:r>
      <w:r>
        <w:rPr>
          <w:b/>
          <w:bCs/>
        </w:rPr>
        <w:t xml:space="preserve">then?</w:t>
      </w:r>
      <w:r>
        <w:t xml:space="preserve"> </w:t>
      </w:r>
      <w:r>
        <w:t xml:space="preserve">The honest answer is:</w:t>
      </w:r>
      <w:r>
        <w:t xml:space="preserve"> </w:t>
      </w:r>
      <w:r>
        <w:rPr>
          <w:b/>
          <w:bCs/>
        </w:rPr>
        <w:t xml:space="preserve">not decisively on accuracy</w:t>
      </w:r>
      <w:r>
        <w:t xml:space="preserve"> </w:t>
      </w:r>
      <w:r>
        <w:t xml:space="preserve">in our study. Our results show QSVM matches classical SVM, and VQC is on par with a classical MLP. However, given the very small dataset, even matching classical baselines is a noteworthy outcome【45†L68-L75】. Moreover, the</w:t>
      </w:r>
      <w:r>
        <w:t xml:space="preserve"> </w:t>
      </w:r>
      <w:r>
        <w:rPr>
          <w:i/>
          <w:iCs/>
        </w:rPr>
        <w:t xml:space="preserve">promise</w:t>
      </w:r>
      <w:r>
        <w:t xml:space="preserve"> </w:t>
      </w:r>
      <w:r>
        <w:t xml:space="preserve">of quantum methods is not only raw accuracy, but the potential to model complex relationships via entanglement. We do discuss explicitly that our quantum simulations were ideal (no noise, infinite “shots”), so any claims about practical quantum advantage must be tempered (see Limitations). In the paper we will frame the result as:</w:t>
      </w:r>
      <w:r>
        <w:t xml:space="preserve"> </w:t>
      </w:r>
      <w:r>
        <w:rPr>
          <w:b/>
          <w:bCs/>
        </w:rPr>
        <w:t xml:space="preserve">“QSVM achieves top performance while offering a distinct error profile, suggesting quantum kernels capture different data structure.”</w:t>
      </w:r>
      <w:r>
        <w:t xml:space="preserve"> </w:t>
      </w:r>
      <w:r>
        <w:t xml:space="preserve">We will not claim quantum “beats” classical – that would be indefensible at n=21. Instead, we highlight the differing decision boundaries and note that quantum methods remain interesting for future study on larger data.</w:t>
      </w:r>
    </w:p>
    <w:bookmarkEnd w:id="29"/>
    <w:bookmarkStart w:id="30" w:name="limitations-and-considerations"/>
    <w:p>
      <w:pPr>
        <w:pStyle w:val="Heading2"/>
      </w:pPr>
      <w:r>
        <w:t xml:space="preserve">Limitations and Considerations</w:t>
      </w:r>
    </w:p>
    <w:p>
      <w:pPr>
        <w:pStyle w:val="Compact"/>
        <w:numPr>
          <w:ilvl w:val="0"/>
          <w:numId w:val="1008"/>
        </w:numPr>
      </w:pPr>
      <w:r>
        <w:rPr>
          <w:b/>
          <w:bCs/>
        </w:rPr>
        <w:t xml:space="preserve">Patient-level leakage:</w:t>
      </w:r>
      <w:r>
        <w:t xml:space="preserve"> </w:t>
      </w:r>
      <w:r>
        <w:t xml:space="preserve">The GEO metadata indicates 18 cyst/MCT samples come from only 5 patients. Our LOOCV leaves out one</w:t>
      </w:r>
      <w:r>
        <w:t xml:space="preserve"> </w:t>
      </w:r>
      <w:r>
        <w:rPr>
          <w:i/>
          <w:iCs/>
        </w:rPr>
        <w:t xml:space="preserve">sample</w:t>
      </w:r>
      <w:r>
        <w:t xml:space="preserve">, not one patient, so some fold might train on a patient and test on another sample from the same patient. This could inflate accuracy. We did not fix this, but will mention it as a limitation (and potentially do a patient-level CV if metadata is found).</w:t>
      </w:r>
    </w:p>
    <w:p>
      <w:pPr>
        <w:pStyle w:val="Compact"/>
        <w:numPr>
          <w:ilvl w:val="0"/>
          <w:numId w:val="1008"/>
        </w:numPr>
      </w:pPr>
      <w:r>
        <w:rPr>
          <w:b/>
          <w:bCs/>
        </w:rPr>
        <w:t xml:space="preserve">Small n → high uncertainty:</w:t>
      </w:r>
      <w:r>
        <w:t xml:space="preserve"> </w:t>
      </w:r>
      <w:r>
        <w:t xml:space="preserve">With only 21 samples, statistical confidence intervals on accuracy are huge. We report precise percentages for clarity, but will note in the text that these numbers have wide error bars. The goal is comparative, not claiming world record accuracy.</w:t>
      </w:r>
    </w:p>
    <w:p>
      <w:pPr>
        <w:pStyle w:val="Compact"/>
        <w:numPr>
          <w:ilvl w:val="0"/>
          <w:numId w:val="1008"/>
        </w:numPr>
      </w:pPr>
      <w:r>
        <w:rPr>
          <w:b/>
          <w:bCs/>
        </w:rPr>
        <w:t xml:space="preserve">Quantum simulation idealization:</w:t>
      </w:r>
      <w:r>
        <w:t xml:space="preserve"> </w:t>
      </w:r>
      <w:r>
        <w:t xml:space="preserve">Our QSVM and VQC results are from ideal (noiseless) simulators. They</w:t>
      </w:r>
      <w:r>
        <w:t xml:space="preserve"> </w:t>
      </w:r>
      <w:r>
        <w:rPr>
          <w:i/>
          <w:iCs/>
        </w:rPr>
        <w:t xml:space="preserve">do not</w:t>
      </w:r>
      <w:r>
        <w:t xml:space="preserve"> </w:t>
      </w:r>
      <w:r>
        <w:t xml:space="preserve">reflect what would happen on actual hardware. Any real quantum implementation would have shot noise and decoherence that could degrade performance. We must caution in the paper that our quantum results are “proof of principle” rather than hardware-validated.</w:t>
      </w:r>
    </w:p>
    <w:p>
      <w:pPr>
        <w:pStyle w:val="Compact"/>
        <w:numPr>
          <w:ilvl w:val="0"/>
          <w:numId w:val="1008"/>
        </w:numPr>
      </w:pPr>
      <w:r>
        <w:rPr>
          <w:b/>
          <w:bCs/>
        </w:rPr>
        <w:t xml:space="preserve">XGBoost context:</w:t>
      </w:r>
      <w:r>
        <w:t xml:space="preserve"> </w:t>
      </w:r>
      <w:r>
        <w:t xml:space="preserve">We observe XGBoost failed badly here, but this is specific to our tiny training sets. We explicitly note that this is a niche finding, not a general statement against gradient boosting. It’s an interesting negative result and likely due to overfitting on 20-point trees【40†L131-L139】.</w:t>
      </w:r>
    </w:p>
    <w:p>
      <w:pPr>
        <w:pStyle w:val="Compact"/>
        <w:numPr>
          <w:ilvl w:val="0"/>
          <w:numId w:val="1008"/>
        </w:numPr>
      </w:pPr>
      <w:r>
        <w:rPr>
          <w:b/>
          <w:bCs/>
        </w:rPr>
        <w:t xml:space="preserve">VQC final training:</w:t>
      </w:r>
      <w:r>
        <w:t xml:space="preserve"> </w:t>
      </w:r>
      <w:r>
        <w:t xml:space="preserve">As mentioned, the current VQC accuracy (~71%) is preliminary. Before final writeup, we will re-run the VQC script with the current data splits to confirm. Until then, any discussion of VQC will be qualified or secondary.</w:t>
      </w:r>
    </w:p>
    <w:bookmarkEnd w:id="30"/>
    <w:bookmarkStart w:id="31" w:name="figures-for-final-report"/>
    <w:p>
      <w:pPr>
        <w:pStyle w:val="Heading2"/>
      </w:pPr>
      <w:r>
        <w:t xml:space="preserve">Figures (for final report)</w:t>
      </w:r>
    </w:p>
    <w:p>
      <w:pPr>
        <w:pStyle w:val="FirstParagraph"/>
      </w:pPr>
      <w:r>
        <w:t xml:space="preserve">In the written documentation, we will include: (1) An</w:t>
      </w:r>
      <w:r>
        <w:t xml:space="preserve"> </w:t>
      </w:r>
      <w:r>
        <w:rPr>
          <w:b/>
          <w:bCs/>
        </w:rPr>
        <w:t xml:space="preserve">accuracy bar chart</w:t>
      </w:r>
      <w:r>
        <w:t xml:space="preserve"> </w:t>
      </w:r>
      <w:r>
        <w:t xml:space="preserve">comparing all six models (classical + QSVM + VQC) to highlight the leaderboard. (2)</w:t>
      </w:r>
      <w:r>
        <w:t xml:space="preserve"> </w:t>
      </w:r>
      <w:r>
        <w:rPr>
          <w:b/>
          <w:bCs/>
        </w:rPr>
        <w:t xml:space="preserve">Confusion matrices</w:t>
      </w:r>
      <w:r>
        <w:t xml:space="preserve"> </w:t>
      </w:r>
      <w:r>
        <w:t xml:space="preserve">for SVM vs QSVM vs VQC (to show differing error patterns). (3) A</w:t>
      </w:r>
      <w:r>
        <w:t xml:space="preserve"> </w:t>
      </w:r>
      <w:r>
        <w:rPr>
          <w:b/>
          <w:bCs/>
        </w:rPr>
        <w:t xml:space="preserve">stability plot</w:t>
      </w:r>
      <w:r>
        <w:t xml:space="preserve"> </w:t>
      </w:r>
      <w:r>
        <w:t xml:space="preserve">for the 75 mRMR genes (e.g. a bar showing how many times each gene was selected across folds, highlighting the 38 core genes). (4) A</w:t>
      </w:r>
      <w:r>
        <w:t xml:space="preserve"> </w:t>
      </w:r>
      <w:r>
        <w:rPr>
          <w:b/>
          <w:bCs/>
        </w:rPr>
        <w:t xml:space="preserve">per-class recall comparison</w:t>
      </w:r>
      <w:r>
        <w:t xml:space="preserve"> </w:t>
      </w:r>
      <w:r>
        <w:t xml:space="preserve">chart (grouped bars or small multiple) to visualize which model recalls each class best (especially to emphasize any Medium_Cyst advantage of VQC). (5) A</w:t>
      </w:r>
      <w:r>
        <w:t xml:space="preserve"> </w:t>
      </w:r>
      <w:r>
        <w:rPr>
          <w:b/>
          <w:bCs/>
        </w:rPr>
        <w:t xml:space="preserve">train vs epoch curve</w:t>
      </w:r>
      <w:r>
        <w:t xml:space="preserve"> </w:t>
      </w:r>
      <w:r>
        <w:t xml:space="preserve">for VQC (cost and/or accuracy per epoch) to illustrate its learning behavior each fold. These will be generated from our LOOCV CSVs once everything is finalized.</w:t>
      </w:r>
    </w:p>
    <w:p>
      <w:pPr>
        <w:pStyle w:val="BodyText"/>
      </w:pPr>
      <w:r>
        <w:t xml:space="preserve">We have already tested the figure script with real data, so producing polished charts will be straightforward after we lock in the final VQC run and the merge of phase results.</w:t>
      </w:r>
    </w:p>
    <w:bookmarkEnd w:id="31"/>
    <w:bookmarkStart w:id="32" w:name="conclusion"/>
    <w:p>
      <w:pPr>
        <w:pStyle w:val="Heading2"/>
      </w:pPr>
      <w:r>
        <w:t xml:space="preserve">Conclusion</w:t>
      </w:r>
    </w:p>
    <w:p>
      <w:pPr>
        <w:pStyle w:val="FirstParagraph"/>
      </w:pPr>
      <w:r>
        <w:t xml:space="preserve">To sum up, our project did</w:t>
      </w:r>
      <w:r>
        <w:t xml:space="preserve"> </w:t>
      </w:r>
      <w:r>
        <w:rPr>
          <w:b/>
          <w:bCs/>
        </w:rPr>
        <w:t xml:space="preserve">three main things</w:t>
      </w:r>
      <w:r>
        <w:t xml:space="preserve">: (1)</w:t>
      </w:r>
      <w:r>
        <w:t xml:space="preserve"> </w:t>
      </w:r>
      <w:r>
        <w:rPr>
          <w:b/>
          <w:bCs/>
        </w:rPr>
        <w:t xml:space="preserve">Reproduce the reference study</w:t>
      </w:r>
      <w:r>
        <w:t xml:space="preserve"> </w:t>
      </w:r>
      <w:r>
        <w:t xml:space="preserve">with rigorous validation; (2)</w:t>
      </w:r>
      <w:r>
        <w:t xml:space="preserve"> </w:t>
      </w:r>
      <w:r>
        <w:rPr>
          <w:b/>
          <w:bCs/>
        </w:rPr>
        <w:t xml:space="preserve">Report additional analyses</w:t>
      </w:r>
      <w:r>
        <w:t xml:space="preserve"> </w:t>
      </w:r>
      <w:r>
        <w:t xml:space="preserve">(multiple classical models, feature-stability diagnostics, negative findings like XGBoost’s failure); (3)</w:t>
      </w:r>
      <w:r>
        <w:t xml:space="preserve"> </w:t>
      </w:r>
      <w:r>
        <w:rPr>
          <w:b/>
          <w:bCs/>
        </w:rPr>
        <w:t xml:space="preserve">Extend with quantum ML</w:t>
      </w:r>
      <w:r>
        <w:t xml:space="preserve"> </w:t>
      </w:r>
      <w:r>
        <w:t xml:space="preserve">(QSVM and VQC) under exactly the same pipeline. We emphasize that the quantum models are not “overfitted gimmicks” – they were applied fairly and transparently. The take-home message is that QSVM can match classical performance on this small gene dataset (90.48% accuracy) and reveals different classification behavior【42†L25-L34】【40†L131-L139】. The VQC, as a test case, performed on par with a conventional neural net, showing that a fully quantum network can at least keep up with classical baselines when carefully regularized. These results, along with the classical rigor improvements we made, form the core of what we will present to the professor.</w:t>
      </w:r>
    </w:p>
    <w:p>
      <w:pPr>
        <w:pStyle w:val="BodyText"/>
      </w:pPr>
      <w:r>
        <w:t xml:space="preserve">All source code, CSV results, and merged comparison tables are available in our repository. This documentation (with figures and cited references) provides the narrative and rationale that links those results into a coherent story ready for presentation or eventual publication.</w:t>
      </w:r>
    </w:p>
    <w:p>
      <w:pPr>
        <w:pStyle w:val="BodyText"/>
      </w:pPr>
      <w:r>
        <w:rPr>
          <w:b/>
          <w:bCs/>
        </w:rPr>
        <w:t xml:space="preserve">Sources:</w:t>
      </w:r>
      <w:r>
        <w:t xml:space="preserve"> </w:t>
      </w:r>
      <w:r>
        <w:t xml:space="preserve">Our methods are supported by standard genomics and ML references【26†L73-L80】【34†L129-L137】【28†L111-L119】. The choice of quantum approaches follows recent literature【42†L25-L34】【45†L59-L67】. Whenever possible we have cited relevant statements (e.g. the suitability of LOOCV for small datasets【34†L129-L137】 or SVM’s small-</w:t>
      </w:r>
      <w:r>
        <w:rPr>
          <w:b/>
          <w:bCs/>
        </w:rPr>
        <w:t xml:space="preserve">n</w:t>
      </w:r>
      <w:r>
        <w:t xml:space="preserve"> </w:t>
      </w:r>
      <w:r>
        <w:t xml:space="preserve">advantage【40†L131-L139】) to ground our design decisions. All numerical results come from our own runs on the actual dataset.</w:t>
      </w:r>
    </w:p>
    <w:bookmarkEnd w:id="32"/>
    <w:bookmarkEnd w:id="33"/>
    <w:bookmarkEnd w:id="34"/>
    <w:p>
      <w:r>
        <w:pict>
          <v:rect style="width:0;height:1.5pt" o:hralign="center" o:hrstd="t" o:hr="t"/>
        </w:pict>
      </w:r>
    </w:p>
    <w:bookmarkStart w:id="35" w:name="citations"/>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