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288FB" w14:textId="77777777" w:rsidR="00374B08" w:rsidRPr="004D05DD" w:rsidRDefault="009A5F55" w:rsidP="002F0C07">
      <w:pPr>
        <w:spacing w:after="0" w:line="240" w:lineRule="auto"/>
        <w:jc w:val="center"/>
        <w:rPr>
          <w:rFonts w:ascii="Calibri" w:hAnsi="Calibri" w:cs="Calibri"/>
          <w:b/>
          <w:sz w:val="32"/>
          <w:szCs w:val="24"/>
        </w:rPr>
      </w:pPr>
      <w:bookmarkStart w:id="0" w:name="_GoBack"/>
      <w:bookmarkEnd w:id="0"/>
      <w:r w:rsidRPr="004D05DD">
        <w:rPr>
          <w:rFonts w:ascii="Calibri" w:hAnsi="Calibri" w:cs="Calibri"/>
          <w:b/>
          <w:sz w:val="32"/>
          <w:szCs w:val="24"/>
        </w:rPr>
        <w:t>PUDUCHERRY TECHNOLOGICAL UNIVERSITY,</w:t>
      </w:r>
    </w:p>
    <w:p w14:paraId="68ADC64B" w14:textId="77777777" w:rsidR="009A5F55" w:rsidRPr="004D05DD" w:rsidRDefault="009A5F55" w:rsidP="002F0C07">
      <w:pPr>
        <w:spacing w:after="0" w:line="240" w:lineRule="auto"/>
        <w:jc w:val="center"/>
        <w:rPr>
          <w:rFonts w:ascii="Calibri" w:hAnsi="Calibri" w:cs="Calibri"/>
          <w:b/>
          <w:sz w:val="32"/>
          <w:szCs w:val="24"/>
        </w:rPr>
      </w:pPr>
      <w:r w:rsidRPr="004D05DD">
        <w:rPr>
          <w:rFonts w:ascii="Calibri" w:hAnsi="Calibri" w:cs="Calibri"/>
          <w:b/>
          <w:sz w:val="32"/>
          <w:szCs w:val="24"/>
        </w:rPr>
        <w:t>DEPARTMENT OF ELECTRICAL AND ELECTRONICS ENGINEERING.</w:t>
      </w:r>
    </w:p>
    <w:p w14:paraId="6D9D2587" w14:textId="2C3F1CA6" w:rsidR="009A5F55" w:rsidRDefault="009A5F55" w:rsidP="002F0C07">
      <w:pPr>
        <w:spacing w:after="0" w:line="240" w:lineRule="auto"/>
        <w:jc w:val="center"/>
        <w:rPr>
          <w:rFonts w:ascii="Calibri" w:hAnsi="Calibri" w:cs="Calibri"/>
          <w:b/>
          <w:sz w:val="32"/>
          <w:szCs w:val="24"/>
        </w:rPr>
      </w:pPr>
      <w:r w:rsidRPr="004D05DD">
        <w:rPr>
          <w:rFonts w:ascii="Calibri" w:hAnsi="Calibri" w:cs="Calibri"/>
          <w:b/>
          <w:sz w:val="32"/>
          <w:szCs w:val="24"/>
        </w:rPr>
        <w:t>BATCH</w:t>
      </w:r>
      <w:r w:rsidR="002F0C07" w:rsidRPr="004D05DD">
        <w:rPr>
          <w:rFonts w:ascii="Calibri" w:hAnsi="Calibri" w:cs="Calibri"/>
          <w:b/>
          <w:sz w:val="32"/>
          <w:szCs w:val="24"/>
        </w:rPr>
        <w:t xml:space="preserve"> </w:t>
      </w:r>
      <w:r w:rsidRPr="004D05DD">
        <w:rPr>
          <w:rFonts w:ascii="Calibri" w:hAnsi="Calibri" w:cs="Calibri"/>
          <w:b/>
          <w:sz w:val="32"/>
          <w:szCs w:val="24"/>
        </w:rPr>
        <w:t>(2017-2021)</w:t>
      </w:r>
    </w:p>
    <w:p w14:paraId="0C3AD2AA" w14:textId="47B08CBD" w:rsidR="004D05DD" w:rsidRDefault="004D05DD" w:rsidP="002F0C07">
      <w:pPr>
        <w:spacing w:after="0" w:line="240" w:lineRule="auto"/>
        <w:jc w:val="center"/>
        <w:rPr>
          <w:rFonts w:ascii="Calibri" w:hAnsi="Calibri" w:cs="Calibri"/>
          <w:b/>
          <w:sz w:val="32"/>
          <w:szCs w:val="24"/>
        </w:rPr>
      </w:pPr>
    </w:p>
    <w:p w14:paraId="5B14055A" w14:textId="77777777" w:rsidR="004D05DD" w:rsidRPr="004D05DD" w:rsidRDefault="004D05DD" w:rsidP="002F0C07">
      <w:pPr>
        <w:spacing w:after="0" w:line="240" w:lineRule="auto"/>
        <w:jc w:val="center"/>
        <w:rPr>
          <w:rFonts w:ascii="Calibri" w:hAnsi="Calibri" w:cs="Calibri"/>
          <w:b/>
          <w:sz w:val="32"/>
          <w:szCs w:val="24"/>
        </w:rPr>
      </w:pPr>
    </w:p>
    <w:p w14:paraId="40B596AB" w14:textId="77777777" w:rsidR="009A5F55" w:rsidRPr="002B5729" w:rsidRDefault="009A5F55" w:rsidP="002F0C07">
      <w:pPr>
        <w:spacing w:after="0" w:line="240" w:lineRule="auto"/>
        <w:rPr>
          <w:rFonts w:ascii="Calibri" w:hAnsi="Calibri" w:cs="Calibri"/>
          <w:b/>
          <w:sz w:val="32"/>
          <w:szCs w:val="24"/>
        </w:rPr>
      </w:pPr>
    </w:p>
    <w:p w14:paraId="1161E3E2" w14:textId="1767FE6D" w:rsidR="00C31E9C" w:rsidRPr="005C65EB" w:rsidRDefault="005C65EB" w:rsidP="004D05DD">
      <w:pPr>
        <w:tabs>
          <w:tab w:val="left" w:pos="90"/>
        </w:tabs>
        <w:spacing w:line="240" w:lineRule="auto"/>
        <w:rPr>
          <w:rFonts w:ascii="Calibri" w:hAnsi="Calibri" w:cs="Calibri"/>
          <w:b/>
          <w:sz w:val="24"/>
          <w:szCs w:val="24"/>
        </w:rPr>
      </w:pPr>
      <w:r w:rsidRPr="005C65EB">
        <w:rPr>
          <w:rFonts w:ascii="Calibri" w:hAnsi="Calibri" w:cs="Calibri"/>
          <w:b/>
          <w:sz w:val="24"/>
          <w:szCs w:val="24"/>
        </w:rPr>
        <w:t xml:space="preserve"> </w:t>
      </w:r>
      <w:r w:rsidRPr="004D05DD">
        <w:rPr>
          <w:rFonts w:ascii="Calibri" w:hAnsi="Calibri" w:cs="Calibri"/>
          <w:b/>
          <w:sz w:val="28"/>
          <w:szCs w:val="24"/>
        </w:rPr>
        <w:t>T</w:t>
      </w:r>
      <w:r w:rsidR="00C31E9C" w:rsidRPr="004D05DD">
        <w:rPr>
          <w:rFonts w:ascii="Calibri" w:hAnsi="Calibri" w:cs="Calibri"/>
          <w:b/>
          <w:sz w:val="28"/>
          <w:szCs w:val="24"/>
        </w:rPr>
        <w:t>ITLE OF THE PROJECT:</w:t>
      </w:r>
    </w:p>
    <w:p w14:paraId="3A0AEB6F" w14:textId="7DB165EA" w:rsidR="002B5729" w:rsidRPr="00C30B91" w:rsidRDefault="004D05DD" w:rsidP="00C30B91">
      <w:pPr>
        <w:spacing w:line="240" w:lineRule="auto"/>
        <w:jc w:val="center"/>
        <w:rPr>
          <w:rFonts w:ascii="Calibri" w:hAnsi="Calibri" w:cs="Calibri"/>
          <w:b/>
          <w:color w:val="002060"/>
          <w:sz w:val="28"/>
          <w:szCs w:val="24"/>
        </w:rPr>
      </w:pPr>
      <w:r>
        <w:rPr>
          <w:rFonts w:ascii="Calibri" w:hAnsi="Calibri" w:cs="Calibri"/>
          <w:b/>
          <w:color w:val="002060"/>
          <w:sz w:val="28"/>
          <w:szCs w:val="24"/>
        </w:rPr>
        <w:t xml:space="preserve">     </w:t>
      </w:r>
      <w:r w:rsidR="00CE1CA7" w:rsidRPr="004D05DD">
        <w:rPr>
          <w:rFonts w:ascii="Calibri" w:hAnsi="Calibri" w:cs="Calibri"/>
          <w:b/>
          <w:color w:val="002060"/>
          <w:sz w:val="28"/>
          <w:szCs w:val="24"/>
        </w:rPr>
        <w:t>STABILITY AND STABILIZATION OF NETWORKED LOAD FREQUENCY CONTROL SYSTEMS INTEGRATED WITH ELECTRIC VEHICLE (EV) AGGREGATORS</w:t>
      </w:r>
      <w:r w:rsidR="00E84DA9" w:rsidRPr="004D05DD">
        <w:rPr>
          <w:rFonts w:ascii="Calibri" w:hAnsi="Calibri" w:cs="Calibri"/>
          <w:b/>
          <w:color w:val="002060"/>
          <w:sz w:val="28"/>
          <w:szCs w:val="24"/>
        </w:rPr>
        <w:t>.</w:t>
      </w:r>
    </w:p>
    <w:p w14:paraId="3D32217F" w14:textId="77777777" w:rsidR="00086B8D" w:rsidRDefault="002B5729" w:rsidP="00E84DA9">
      <w:pPr>
        <w:spacing w:after="0"/>
        <w:rPr>
          <w:rFonts w:ascii="Calibri" w:hAnsi="Calibri" w:cs="Calibri"/>
          <w:b/>
          <w:sz w:val="24"/>
          <w:szCs w:val="24"/>
        </w:rPr>
      </w:pPr>
      <w:r>
        <w:rPr>
          <w:rFonts w:ascii="Calibri" w:hAnsi="Calibri" w:cs="Calibri"/>
          <w:b/>
          <w:sz w:val="24"/>
          <w:szCs w:val="24"/>
        </w:rPr>
        <w:t xml:space="preserve">    </w:t>
      </w:r>
    </w:p>
    <w:p w14:paraId="5D9670DD" w14:textId="77777777" w:rsidR="00C30B91" w:rsidRDefault="00C30B91" w:rsidP="00E84DA9">
      <w:pPr>
        <w:spacing w:after="0"/>
        <w:rPr>
          <w:rFonts w:ascii="Calibri" w:hAnsi="Calibri" w:cs="Calibri"/>
          <w:b/>
          <w:sz w:val="28"/>
          <w:szCs w:val="24"/>
        </w:rPr>
      </w:pPr>
    </w:p>
    <w:p w14:paraId="55752183" w14:textId="711EB358" w:rsidR="00E84DA9" w:rsidRPr="004D05DD" w:rsidRDefault="00086B8D" w:rsidP="00E84DA9">
      <w:pPr>
        <w:spacing w:after="0"/>
        <w:rPr>
          <w:rFonts w:ascii="Calibri" w:hAnsi="Calibri" w:cs="Calibri"/>
          <w:b/>
          <w:sz w:val="28"/>
          <w:szCs w:val="24"/>
        </w:rPr>
      </w:pPr>
      <w:r w:rsidRPr="004D05DD">
        <w:rPr>
          <w:rFonts w:ascii="Calibri" w:hAnsi="Calibri" w:cs="Calibri"/>
          <w:b/>
          <w:sz w:val="28"/>
          <w:szCs w:val="24"/>
        </w:rPr>
        <w:t xml:space="preserve"> </w:t>
      </w:r>
      <w:r w:rsidR="00E84DA9" w:rsidRPr="004D05DD">
        <w:rPr>
          <w:rFonts w:ascii="Calibri" w:hAnsi="Calibri" w:cs="Calibri"/>
          <w:b/>
          <w:sz w:val="28"/>
          <w:szCs w:val="24"/>
        </w:rPr>
        <w:t>BATCH LIST:</w:t>
      </w:r>
    </w:p>
    <w:p w14:paraId="09938AB7" w14:textId="14E3A779" w:rsidR="00E84DA9" w:rsidRDefault="00E84DA9" w:rsidP="00E84DA9">
      <w:pPr>
        <w:spacing w:after="0"/>
        <w:rPr>
          <w:rFonts w:ascii="Calibri" w:hAnsi="Calibri" w:cs="Calibri"/>
          <w:b/>
          <w:sz w:val="24"/>
          <w:szCs w:val="24"/>
        </w:rPr>
      </w:pPr>
    </w:p>
    <w:p w14:paraId="7C9C817A" w14:textId="77777777" w:rsidR="00086B8D" w:rsidRDefault="00086B8D" w:rsidP="00E84DA9">
      <w:pPr>
        <w:spacing w:after="0"/>
        <w:rPr>
          <w:rFonts w:ascii="Calibri" w:hAnsi="Calibri" w:cs="Calibri"/>
          <w:b/>
          <w:sz w:val="24"/>
          <w:szCs w:val="24"/>
        </w:rPr>
      </w:pPr>
    </w:p>
    <w:tbl>
      <w:tblPr>
        <w:tblStyle w:val="TableGrid"/>
        <w:tblW w:w="0" w:type="auto"/>
        <w:tblInd w:w="378" w:type="dxa"/>
        <w:tblLook w:val="04A0" w:firstRow="1" w:lastRow="0" w:firstColumn="1" w:lastColumn="0" w:noHBand="0" w:noVBand="1"/>
      </w:tblPr>
      <w:tblGrid>
        <w:gridCol w:w="991"/>
        <w:gridCol w:w="1505"/>
        <w:gridCol w:w="6476"/>
      </w:tblGrid>
      <w:tr w:rsidR="00E84DA9" w14:paraId="0BC4A90A" w14:textId="77777777" w:rsidTr="00673EDA">
        <w:trPr>
          <w:trHeight w:val="803"/>
        </w:trPr>
        <w:tc>
          <w:tcPr>
            <w:tcW w:w="880" w:type="dxa"/>
          </w:tcPr>
          <w:p w14:paraId="7C3D4613" w14:textId="77777777" w:rsidR="00E84DA9" w:rsidRPr="004D05DD" w:rsidRDefault="00E84DA9" w:rsidP="00E84DA9">
            <w:pPr>
              <w:rPr>
                <w:rFonts w:ascii="Calibri" w:hAnsi="Calibri" w:cs="Calibri"/>
                <w:b/>
                <w:sz w:val="28"/>
                <w:szCs w:val="24"/>
                <w:u w:val="single"/>
              </w:rPr>
            </w:pPr>
          </w:p>
          <w:p w14:paraId="55B63E90" w14:textId="77777777" w:rsidR="00000AEF" w:rsidRPr="004D05DD" w:rsidRDefault="00000AEF" w:rsidP="00E84DA9">
            <w:pPr>
              <w:rPr>
                <w:rFonts w:ascii="Calibri" w:hAnsi="Calibri" w:cs="Calibri"/>
                <w:b/>
                <w:sz w:val="28"/>
                <w:szCs w:val="24"/>
                <w:u w:val="single"/>
              </w:rPr>
            </w:pPr>
            <w:r w:rsidRPr="004D05DD">
              <w:rPr>
                <w:rFonts w:ascii="Calibri" w:hAnsi="Calibri" w:cs="Calibri"/>
                <w:b/>
                <w:sz w:val="28"/>
                <w:szCs w:val="24"/>
                <w:u w:val="single"/>
              </w:rPr>
              <w:t>SL.NO.</w:t>
            </w:r>
          </w:p>
        </w:tc>
        <w:tc>
          <w:tcPr>
            <w:tcW w:w="1526" w:type="dxa"/>
          </w:tcPr>
          <w:p w14:paraId="4B8AF74C" w14:textId="77777777" w:rsidR="00E84DA9" w:rsidRPr="004D05DD" w:rsidRDefault="00E84DA9" w:rsidP="00000AEF">
            <w:pPr>
              <w:jc w:val="center"/>
              <w:rPr>
                <w:rFonts w:ascii="Calibri" w:hAnsi="Calibri" w:cs="Calibri"/>
                <w:b/>
                <w:sz w:val="28"/>
                <w:szCs w:val="24"/>
                <w:u w:val="single"/>
              </w:rPr>
            </w:pPr>
          </w:p>
          <w:p w14:paraId="2D3E0869" w14:textId="77777777" w:rsidR="00000AEF" w:rsidRPr="004D05DD" w:rsidRDefault="00000AEF" w:rsidP="00000AEF">
            <w:pPr>
              <w:jc w:val="center"/>
              <w:rPr>
                <w:rFonts w:ascii="Calibri" w:hAnsi="Calibri" w:cs="Calibri"/>
                <w:b/>
                <w:sz w:val="28"/>
                <w:szCs w:val="24"/>
                <w:u w:val="single"/>
              </w:rPr>
            </w:pPr>
            <w:r w:rsidRPr="004D05DD">
              <w:rPr>
                <w:rFonts w:ascii="Calibri" w:hAnsi="Calibri" w:cs="Calibri"/>
                <w:b/>
                <w:sz w:val="28"/>
                <w:szCs w:val="24"/>
                <w:u w:val="single"/>
              </w:rPr>
              <w:t>REG.NO</w:t>
            </w:r>
          </w:p>
        </w:tc>
        <w:tc>
          <w:tcPr>
            <w:tcW w:w="6792" w:type="dxa"/>
          </w:tcPr>
          <w:p w14:paraId="3FD569E7" w14:textId="77777777" w:rsidR="00E84DA9" w:rsidRPr="004D05DD" w:rsidRDefault="00E84DA9" w:rsidP="00E84DA9">
            <w:pPr>
              <w:rPr>
                <w:rFonts w:ascii="Calibri" w:hAnsi="Calibri" w:cs="Calibri"/>
                <w:b/>
                <w:sz w:val="28"/>
                <w:szCs w:val="24"/>
                <w:u w:val="single"/>
              </w:rPr>
            </w:pPr>
          </w:p>
          <w:p w14:paraId="794CA0E0" w14:textId="77777777" w:rsidR="00000AEF" w:rsidRPr="004D05DD" w:rsidRDefault="00000AEF" w:rsidP="00000AEF">
            <w:pPr>
              <w:jc w:val="center"/>
              <w:rPr>
                <w:rFonts w:ascii="Calibri" w:hAnsi="Calibri" w:cs="Calibri"/>
                <w:b/>
                <w:sz w:val="28"/>
                <w:szCs w:val="24"/>
                <w:u w:val="single"/>
              </w:rPr>
            </w:pPr>
            <w:r w:rsidRPr="004D05DD">
              <w:rPr>
                <w:rFonts w:ascii="Calibri" w:hAnsi="Calibri" w:cs="Calibri"/>
                <w:b/>
                <w:sz w:val="28"/>
                <w:szCs w:val="24"/>
                <w:u w:val="single"/>
              </w:rPr>
              <w:t>NAMES</w:t>
            </w:r>
          </w:p>
        </w:tc>
      </w:tr>
      <w:tr w:rsidR="00E84DA9" w14:paraId="6C85FD3F" w14:textId="77777777" w:rsidTr="00673EDA">
        <w:trPr>
          <w:trHeight w:val="803"/>
        </w:trPr>
        <w:tc>
          <w:tcPr>
            <w:tcW w:w="880" w:type="dxa"/>
            <w:tcBorders>
              <w:bottom w:val="single" w:sz="4" w:space="0" w:color="000000" w:themeColor="text1"/>
            </w:tcBorders>
          </w:tcPr>
          <w:p w14:paraId="12959B42" w14:textId="77777777" w:rsidR="00E84DA9" w:rsidRPr="004D05DD" w:rsidRDefault="00E84DA9" w:rsidP="00E84DA9">
            <w:pPr>
              <w:rPr>
                <w:rFonts w:ascii="Calibri" w:hAnsi="Calibri" w:cs="Calibri"/>
                <w:b/>
                <w:color w:val="002060"/>
                <w:sz w:val="28"/>
                <w:szCs w:val="24"/>
              </w:rPr>
            </w:pPr>
          </w:p>
          <w:p w14:paraId="1071F66A" w14:textId="77777777" w:rsidR="00000AEF" w:rsidRPr="004D05DD" w:rsidRDefault="00000AEF" w:rsidP="00000AEF">
            <w:pPr>
              <w:jc w:val="center"/>
              <w:rPr>
                <w:rFonts w:cstheme="minorHAnsi"/>
                <w:b/>
                <w:color w:val="002060"/>
                <w:sz w:val="28"/>
                <w:szCs w:val="24"/>
              </w:rPr>
            </w:pPr>
            <w:r w:rsidRPr="004D05DD">
              <w:rPr>
                <w:rFonts w:cstheme="minorHAnsi"/>
                <w:b/>
                <w:color w:val="002060"/>
                <w:sz w:val="28"/>
                <w:szCs w:val="24"/>
              </w:rPr>
              <w:t>1</w:t>
            </w:r>
          </w:p>
        </w:tc>
        <w:tc>
          <w:tcPr>
            <w:tcW w:w="1526" w:type="dxa"/>
          </w:tcPr>
          <w:p w14:paraId="7F070643" w14:textId="77777777" w:rsidR="00E84DA9" w:rsidRPr="004D05DD" w:rsidRDefault="00E84DA9" w:rsidP="00E84DA9">
            <w:pPr>
              <w:rPr>
                <w:rFonts w:ascii="Calibri" w:hAnsi="Calibri" w:cs="Calibri"/>
                <w:b/>
                <w:color w:val="002060"/>
                <w:sz w:val="28"/>
                <w:szCs w:val="24"/>
              </w:rPr>
            </w:pPr>
          </w:p>
          <w:p w14:paraId="4B883CAA" w14:textId="77777777" w:rsidR="00000AEF"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17CE153</w:t>
            </w:r>
          </w:p>
        </w:tc>
        <w:tc>
          <w:tcPr>
            <w:tcW w:w="6792" w:type="dxa"/>
          </w:tcPr>
          <w:p w14:paraId="448C1734" w14:textId="77777777" w:rsidR="00E84DA9" w:rsidRPr="004D05DD" w:rsidRDefault="00E84DA9" w:rsidP="00E84DA9">
            <w:pPr>
              <w:rPr>
                <w:rFonts w:ascii="Calibri" w:hAnsi="Calibri" w:cs="Calibri"/>
                <w:b/>
                <w:color w:val="002060"/>
                <w:sz w:val="28"/>
                <w:szCs w:val="24"/>
              </w:rPr>
            </w:pPr>
          </w:p>
          <w:p w14:paraId="4D6310BD"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SHARINI RITHIGAA B S</w:t>
            </w:r>
          </w:p>
        </w:tc>
      </w:tr>
      <w:tr w:rsidR="00000AEF" w14:paraId="4F16FC81" w14:textId="77777777" w:rsidTr="00673EDA">
        <w:trPr>
          <w:trHeight w:val="766"/>
        </w:trPr>
        <w:tc>
          <w:tcPr>
            <w:tcW w:w="880" w:type="dxa"/>
            <w:tcBorders>
              <w:bottom w:val="single" w:sz="4" w:space="0" w:color="auto"/>
            </w:tcBorders>
            <w:shd w:val="clear" w:color="auto" w:fill="FFFFFF" w:themeFill="background1"/>
          </w:tcPr>
          <w:p w14:paraId="6B514AE0" w14:textId="77777777" w:rsidR="00E84DA9" w:rsidRPr="004D05DD" w:rsidRDefault="00E84DA9" w:rsidP="00E84DA9">
            <w:pPr>
              <w:rPr>
                <w:rFonts w:ascii="Calibri" w:hAnsi="Calibri" w:cs="Calibri"/>
                <w:b/>
                <w:color w:val="002060"/>
                <w:sz w:val="28"/>
                <w:szCs w:val="24"/>
              </w:rPr>
            </w:pPr>
          </w:p>
          <w:p w14:paraId="28B27048" w14:textId="77777777" w:rsidR="00000AEF" w:rsidRPr="004D05DD" w:rsidRDefault="00000AEF" w:rsidP="00000AEF">
            <w:pPr>
              <w:jc w:val="center"/>
              <w:rPr>
                <w:rFonts w:ascii="Calibri" w:hAnsi="Calibri" w:cs="Calibri"/>
                <w:b/>
                <w:color w:val="002060"/>
                <w:sz w:val="28"/>
                <w:szCs w:val="24"/>
              </w:rPr>
            </w:pPr>
            <w:r w:rsidRPr="004D05DD">
              <w:rPr>
                <w:rFonts w:ascii="Calibri" w:hAnsi="Calibri" w:cs="Calibri"/>
                <w:b/>
                <w:color w:val="002060"/>
                <w:sz w:val="28"/>
                <w:szCs w:val="24"/>
              </w:rPr>
              <w:t>2</w:t>
            </w:r>
          </w:p>
        </w:tc>
        <w:tc>
          <w:tcPr>
            <w:tcW w:w="1526" w:type="dxa"/>
          </w:tcPr>
          <w:p w14:paraId="608A4C33" w14:textId="77777777" w:rsidR="00E84DA9" w:rsidRPr="004D05DD" w:rsidRDefault="00E84DA9" w:rsidP="00E84DA9">
            <w:pPr>
              <w:rPr>
                <w:rFonts w:ascii="Calibri" w:hAnsi="Calibri" w:cs="Calibri"/>
                <w:b/>
                <w:color w:val="002060"/>
                <w:sz w:val="28"/>
                <w:szCs w:val="24"/>
              </w:rPr>
            </w:pPr>
          </w:p>
          <w:p w14:paraId="349A3CC2"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17EE111</w:t>
            </w:r>
          </w:p>
        </w:tc>
        <w:tc>
          <w:tcPr>
            <w:tcW w:w="6792" w:type="dxa"/>
          </w:tcPr>
          <w:p w14:paraId="1C19BE76" w14:textId="77777777" w:rsidR="00E84DA9" w:rsidRPr="004D05DD" w:rsidRDefault="00E84DA9" w:rsidP="005B78EC">
            <w:pPr>
              <w:jc w:val="center"/>
              <w:rPr>
                <w:rFonts w:ascii="Calibri" w:hAnsi="Calibri" w:cs="Calibri"/>
                <w:b/>
                <w:color w:val="002060"/>
                <w:sz w:val="28"/>
                <w:szCs w:val="24"/>
              </w:rPr>
            </w:pPr>
          </w:p>
          <w:p w14:paraId="22AC827F"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GOKULNATH M</w:t>
            </w:r>
          </w:p>
        </w:tc>
      </w:tr>
      <w:tr w:rsidR="00E84DA9" w14:paraId="59BFEB36" w14:textId="77777777" w:rsidTr="00673EDA">
        <w:trPr>
          <w:trHeight w:val="803"/>
        </w:trPr>
        <w:tc>
          <w:tcPr>
            <w:tcW w:w="880" w:type="dxa"/>
            <w:tcBorders>
              <w:top w:val="single" w:sz="4" w:space="0" w:color="auto"/>
            </w:tcBorders>
          </w:tcPr>
          <w:p w14:paraId="3FE1CDCF" w14:textId="77777777" w:rsidR="00E84DA9" w:rsidRPr="004D05DD" w:rsidRDefault="00E84DA9" w:rsidP="00E84DA9">
            <w:pPr>
              <w:rPr>
                <w:rFonts w:ascii="Calibri" w:hAnsi="Calibri" w:cs="Calibri"/>
                <w:b/>
                <w:color w:val="002060"/>
                <w:sz w:val="28"/>
                <w:szCs w:val="24"/>
              </w:rPr>
            </w:pPr>
          </w:p>
          <w:p w14:paraId="54A15C15" w14:textId="77777777" w:rsidR="00000AEF" w:rsidRPr="004D05DD" w:rsidRDefault="00000AEF" w:rsidP="00000AEF">
            <w:pPr>
              <w:jc w:val="center"/>
              <w:rPr>
                <w:rFonts w:ascii="Calibri" w:hAnsi="Calibri" w:cs="Calibri"/>
                <w:b/>
                <w:color w:val="002060"/>
                <w:sz w:val="28"/>
                <w:szCs w:val="24"/>
              </w:rPr>
            </w:pPr>
            <w:r w:rsidRPr="004D05DD">
              <w:rPr>
                <w:rFonts w:ascii="Calibri" w:hAnsi="Calibri" w:cs="Calibri"/>
                <w:b/>
                <w:color w:val="002060"/>
                <w:sz w:val="28"/>
                <w:szCs w:val="24"/>
              </w:rPr>
              <w:t>3</w:t>
            </w:r>
          </w:p>
        </w:tc>
        <w:tc>
          <w:tcPr>
            <w:tcW w:w="1526" w:type="dxa"/>
          </w:tcPr>
          <w:p w14:paraId="4D568252" w14:textId="77777777" w:rsidR="00E84DA9" w:rsidRPr="004D05DD" w:rsidRDefault="00E84DA9" w:rsidP="00E84DA9">
            <w:pPr>
              <w:rPr>
                <w:rFonts w:ascii="Calibri" w:hAnsi="Calibri" w:cs="Calibri"/>
                <w:b/>
                <w:color w:val="002060"/>
                <w:sz w:val="28"/>
                <w:szCs w:val="24"/>
              </w:rPr>
            </w:pPr>
          </w:p>
          <w:p w14:paraId="0AD264D3"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17EE118</w:t>
            </w:r>
          </w:p>
        </w:tc>
        <w:tc>
          <w:tcPr>
            <w:tcW w:w="6792" w:type="dxa"/>
          </w:tcPr>
          <w:p w14:paraId="4472AEBF" w14:textId="77777777" w:rsidR="00E84DA9" w:rsidRPr="004D05DD" w:rsidRDefault="00E84DA9" w:rsidP="005B78EC">
            <w:pPr>
              <w:jc w:val="center"/>
              <w:rPr>
                <w:rFonts w:ascii="Calibri" w:hAnsi="Calibri" w:cs="Calibri"/>
                <w:b/>
                <w:color w:val="002060"/>
                <w:sz w:val="28"/>
                <w:szCs w:val="24"/>
              </w:rPr>
            </w:pPr>
          </w:p>
          <w:p w14:paraId="7EA6A2C9"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KALAVAGUNTA VAMSHI</w:t>
            </w:r>
          </w:p>
        </w:tc>
      </w:tr>
      <w:tr w:rsidR="00E84DA9" w14:paraId="5DA4E576" w14:textId="77777777" w:rsidTr="00673EDA">
        <w:trPr>
          <w:trHeight w:val="803"/>
        </w:trPr>
        <w:tc>
          <w:tcPr>
            <w:tcW w:w="880" w:type="dxa"/>
          </w:tcPr>
          <w:p w14:paraId="32AF4990" w14:textId="77777777" w:rsidR="00E84DA9" w:rsidRPr="004D05DD" w:rsidRDefault="00E84DA9" w:rsidP="00E84DA9">
            <w:pPr>
              <w:rPr>
                <w:rFonts w:ascii="Calibri" w:hAnsi="Calibri" w:cs="Calibri"/>
                <w:b/>
                <w:color w:val="002060"/>
                <w:sz w:val="28"/>
                <w:szCs w:val="24"/>
              </w:rPr>
            </w:pPr>
          </w:p>
          <w:p w14:paraId="09A5F614" w14:textId="77777777" w:rsidR="00000AEF" w:rsidRPr="004D05DD" w:rsidRDefault="00000AEF" w:rsidP="00000AEF">
            <w:pPr>
              <w:jc w:val="center"/>
              <w:rPr>
                <w:rFonts w:ascii="Calibri" w:hAnsi="Calibri" w:cs="Calibri"/>
                <w:b/>
                <w:color w:val="002060"/>
                <w:sz w:val="28"/>
                <w:szCs w:val="24"/>
              </w:rPr>
            </w:pPr>
            <w:r w:rsidRPr="004D05DD">
              <w:rPr>
                <w:rFonts w:ascii="Calibri" w:hAnsi="Calibri" w:cs="Calibri"/>
                <w:b/>
                <w:color w:val="002060"/>
                <w:sz w:val="28"/>
                <w:szCs w:val="24"/>
              </w:rPr>
              <w:t>4</w:t>
            </w:r>
          </w:p>
        </w:tc>
        <w:tc>
          <w:tcPr>
            <w:tcW w:w="1526" w:type="dxa"/>
          </w:tcPr>
          <w:p w14:paraId="3EDE0BCC" w14:textId="77777777" w:rsidR="00E84DA9" w:rsidRPr="004D05DD" w:rsidRDefault="00E84DA9" w:rsidP="00E84DA9">
            <w:pPr>
              <w:rPr>
                <w:rFonts w:ascii="Calibri" w:hAnsi="Calibri" w:cs="Calibri"/>
                <w:b/>
                <w:color w:val="002060"/>
                <w:sz w:val="28"/>
                <w:szCs w:val="24"/>
              </w:rPr>
            </w:pPr>
          </w:p>
          <w:p w14:paraId="6777633B"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17EE119</w:t>
            </w:r>
          </w:p>
        </w:tc>
        <w:tc>
          <w:tcPr>
            <w:tcW w:w="6792" w:type="dxa"/>
          </w:tcPr>
          <w:p w14:paraId="6A26AB44" w14:textId="77777777" w:rsidR="00E84DA9" w:rsidRPr="004D05DD" w:rsidRDefault="00E84DA9" w:rsidP="00E84DA9">
            <w:pPr>
              <w:rPr>
                <w:rFonts w:ascii="Calibri" w:hAnsi="Calibri" w:cs="Calibri"/>
                <w:b/>
                <w:color w:val="002060"/>
                <w:sz w:val="28"/>
                <w:szCs w:val="24"/>
              </w:rPr>
            </w:pPr>
          </w:p>
          <w:p w14:paraId="688551ED" w14:textId="77777777" w:rsidR="005B78EC" w:rsidRPr="004D05DD" w:rsidRDefault="005B78EC" w:rsidP="005B78EC">
            <w:pPr>
              <w:jc w:val="center"/>
              <w:rPr>
                <w:rFonts w:ascii="Calibri" w:hAnsi="Calibri" w:cs="Calibri"/>
                <w:b/>
                <w:color w:val="002060"/>
                <w:sz w:val="28"/>
                <w:szCs w:val="24"/>
              </w:rPr>
            </w:pPr>
            <w:r w:rsidRPr="004D05DD">
              <w:rPr>
                <w:rFonts w:ascii="Calibri" w:hAnsi="Calibri" w:cs="Calibri"/>
                <w:b/>
                <w:color w:val="002060"/>
                <w:sz w:val="28"/>
                <w:szCs w:val="24"/>
              </w:rPr>
              <w:t>KALLA ANIL SAI KUMAR</w:t>
            </w:r>
          </w:p>
        </w:tc>
      </w:tr>
    </w:tbl>
    <w:p w14:paraId="1A03BD15" w14:textId="7CF8A1EF" w:rsidR="001D5A5C" w:rsidRDefault="001D5A5C" w:rsidP="00673EDA">
      <w:pPr>
        <w:tabs>
          <w:tab w:val="left" w:pos="231"/>
        </w:tabs>
        <w:spacing w:after="0" w:line="240" w:lineRule="auto"/>
        <w:jc w:val="both"/>
        <w:rPr>
          <w:rFonts w:ascii="Calibri" w:hAnsi="Calibri" w:cs="Calibri"/>
          <w:b/>
          <w:sz w:val="24"/>
          <w:szCs w:val="24"/>
        </w:rPr>
      </w:pPr>
    </w:p>
    <w:p w14:paraId="6969579D" w14:textId="095323BD" w:rsidR="00C30B91" w:rsidRDefault="00C30B91" w:rsidP="00673EDA">
      <w:pPr>
        <w:tabs>
          <w:tab w:val="left" w:pos="231"/>
        </w:tabs>
        <w:spacing w:after="0" w:line="240" w:lineRule="auto"/>
        <w:jc w:val="both"/>
        <w:rPr>
          <w:rFonts w:ascii="Calibri" w:hAnsi="Calibri" w:cs="Calibri"/>
          <w:b/>
          <w:sz w:val="24"/>
          <w:szCs w:val="24"/>
        </w:rPr>
      </w:pPr>
    </w:p>
    <w:p w14:paraId="558ECD3F" w14:textId="6264BD94" w:rsidR="00C30B91" w:rsidRDefault="00C30B91" w:rsidP="00673EDA">
      <w:pPr>
        <w:tabs>
          <w:tab w:val="left" w:pos="231"/>
        </w:tabs>
        <w:spacing w:after="0" w:line="240" w:lineRule="auto"/>
        <w:jc w:val="both"/>
        <w:rPr>
          <w:rFonts w:ascii="Calibri" w:hAnsi="Calibri" w:cs="Calibri"/>
          <w:b/>
          <w:sz w:val="24"/>
          <w:szCs w:val="24"/>
        </w:rPr>
      </w:pPr>
    </w:p>
    <w:p w14:paraId="4DC9D2D9" w14:textId="52AAA0E1" w:rsidR="00C30B91" w:rsidRDefault="00C30B91" w:rsidP="00673EDA">
      <w:pPr>
        <w:tabs>
          <w:tab w:val="left" w:pos="231"/>
        </w:tabs>
        <w:spacing w:after="0" w:line="240" w:lineRule="auto"/>
        <w:jc w:val="both"/>
        <w:rPr>
          <w:rFonts w:ascii="Calibri" w:hAnsi="Calibri" w:cs="Calibri"/>
          <w:b/>
          <w:sz w:val="24"/>
          <w:szCs w:val="24"/>
        </w:rPr>
      </w:pPr>
    </w:p>
    <w:p w14:paraId="2412F34B" w14:textId="77777777" w:rsidR="00C30B91" w:rsidRPr="004D05DD" w:rsidRDefault="00C30B91" w:rsidP="00C30B91">
      <w:pPr>
        <w:tabs>
          <w:tab w:val="left" w:pos="231"/>
        </w:tabs>
        <w:spacing w:after="0" w:line="240" w:lineRule="auto"/>
        <w:rPr>
          <w:rFonts w:ascii="Calibri" w:hAnsi="Calibri" w:cs="Calibri"/>
          <w:b/>
          <w:color w:val="002060"/>
          <w:sz w:val="28"/>
          <w:szCs w:val="24"/>
        </w:rPr>
      </w:pPr>
      <w:r w:rsidRPr="004D05DD">
        <w:rPr>
          <w:rFonts w:ascii="Calibri" w:hAnsi="Calibri" w:cs="Calibri"/>
          <w:b/>
          <w:sz w:val="28"/>
          <w:szCs w:val="24"/>
        </w:rPr>
        <w:t xml:space="preserve">   PROJECT GUIDE</w:t>
      </w:r>
      <w:r w:rsidRPr="004D05DD">
        <w:rPr>
          <w:rFonts w:ascii="Calibri" w:hAnsi="Calibri" w:cs="Calibri"/>
          <w:sz w:val="32"/>
          <w:szCs w:val="24"/>
        </w:rPr>
        <w:t xml:space="preserve">:         </w:t>
      </w:r>
      <w:r w:rsidRPr="004D05DD">
        <w:rPr>
          <w:rFonts w:ascii="Calibri" w:hAnsi="Calibri" w:cs="Calibri"/>
          <w:b/>
          <w:color w:val="002060"/>
          <w:sz w:val="28"/>
          <w:szCs w:val="24"/>
        </w:rPr>
        <w:t>Dr. K. RAMAKRISHNAN, ASSOCIATE PROFESSOR (EEE),</w:t>
      </w:r>
    </w:p>
    <w:p w14:paraId="060C51F3" w14:textId="77777777" w:rsidR="00C30B91" w:rsidRPr="004D05DD" w:rsidRDefault="00C30B91" w:rsidP="00C30B91">
      <w:pPr>
        <w:tabs>
          <w:tab w:val="left" w:pos="231"/>
          <w:tab w:val="left" w:pos="6983"/>
        </w:tabs>
        <w:spacing w:after="0" w:line="240" w:lineRule="auto"/>
        <w:jc w:val="both"/>
        <w:rPr>
          <w:rFonts w:ascii="Calibri" w:hAnsi="Calibri" w:cs="Calibri"/>
          <w:sz w:val="28"/>
          <w:szCs w:val="24"/>
        </w:rPr>
      </w:pPr>
      <w:r w:rsidRPr="004D05DD">
        <w:rPr>
          <w:rFonts w:ascii="Calibri" w:hAnsi="Calibri" w:cs="Calibri"/>
          <w:b/>
          <w:color w:val="002060"/>
          <w:sz w:val="28"/>
          <w:szCs w:val="24"/>
        </w:rPr>
        <w:t xml:space="preserve">                                                  PUDUCHERRY TECHNOLOGICAL UNIVERSITY</w:t>
      </w:r>
      <w:r w:rsidRPr="004D05DD">
        <w:rPr>
          <w:rFonts w:ascii="Calibri" w:hAnsi="Calibri" w:cs="Calibri"/>
          <w:sz w:val="28"/>
          <w:szCs w:val="24"/>
        </w:rPr>
        <w:t>.</w:t>
      </w:r>
      <w:r w:rsidRPr="004D05DD">
        <w:rPr>
          <w:rFonts w:ascii="Calibri" w:hAnsi="Calibri" w:cs="Calibri"/>
          <w:sz w:val="28"/>
          <w:szCs w:val="24"/>
        </w:rPr>
        <w:tab/>
      </w:r>
    </w:p>
    <w:p w14:paraId="21B0989E" w14:textId="77777777" w:rsidR="00C30B91" w:rsidRPr="004D05DD" w:rsidRDefault="00C30B91" w:rsidP="00C30B91">
      <w:pPr>
        <w:spacing w:after="0"/>
        <w:rPr>
          <w:rFonts w:ascii="Calibri" w:hAnsi="Calibri" w:cs="Calibri"/>
          <w:b/>
          <w:sz w:val="28"/>
          <w:szCs w:val="24"/>
        </w:rPr>
      </w:pPr>
    </w:p>
    <w:p w14:paraId="76EAAD9A" w14:textId="77777777" w:rsidR="00C30B91" w:rsidRDefault="00C30B91" w:rsidP="00673EDA">
      <w:pPr>
        <w:tabs>
          <w:tab w:val="left" w:pos="231"/>
        </w:tabs>
        <w:spacing w:after="0" w:line="240" w:lineRule="auto"/>
        <w:jc w:val="both"/>
        <w:rPr>
          <w:rFonts w:ascii="Calibri" w:hAnsi="Calibri" w:cs="Calibri"/>
          <w:b/>
          <w:sz w:val="24"/>
          <w:szCs w:val="24"/>
        </w:rPr>
      </w:pPr>
    </w:p>
    <w:p w14:paraId="1C79809C" w14:textId="77777777" w:rsidR="005C65EB" w:rsidRDefault="005C65EB" w:rsidP="00673EDA">
      <w:pPr>
        <w:tabs>
          <w:tab w:val="left" w:pos="231"/>
        </w:tabs>
        <w:spacing w:after="0" w:line="240" w:lineRule="auto"/>
        <w:jc w:val="both"/>
        <w:rPr>
          <w:rFonts w:ascii="Calibri" w:hAnsi="Calibri" w:cs="Calibri"/>
          <w:b/>
          <w:sz w:val="24"/>
          <w:szCs w:val="24"/>
        </w:rPr>
      </w:pPr>
    </w:p>
    <w:p w14:paraId="7C479A10" w14:textId="77777777" w:rsidR="005C65EB" w:rsidRDefault="005C65EB" w:rsidP="00673EDA">
      <w:pPr>
        <w:tabs>
          <w:tab w:val="left" w:pos="231"/>
        </w:tabs>
        <w:spacing w:after="0" w:line="240" w:lineRule="auto"/>
        <w:jc w:val="both"/>
        <w:rPr>
          <w:rFonts w:ascii="Calibri" w:hAnsi="Calibri" w:cs="Calibri"/>
          <w:b/>
          <w:sz w:val="24"/>
          <w:szCs w:val="24"/>
        </w:rPr>
      </w:pPr>
    </w:p>
    <w:p w14:paraId="61EE5D42" w14:textId="77777777" w:rsidR="005C65EB" w:rsidRDefault="005C65EB" w:rsidP="00673EDA">
      <w:pPr>
        <w:tabs>
          <w:tab w:val="left" w:pos="231"/>
        </w:tabs>
        <w:spacing w:after="0" w:line="240" w:lineRule="auto"/>
        <w:jc w:val="both"/>
        <w:rPr>
          <w:rFonts w:ascii="Calibri" w:hAnsi="Calibri" w:cs="Calibri"/>
          <w:b/>
          <w:sz w:val="24"/>
          <w:szCs w:val="24"/>
        </w:rPr>
      </w:pPr>
    </w:p>
    <w:p w14:paraId="107C9A26" w14:textId="77777777" w:rsidR="001D5A5C" w:rsidRDefault="001D5A5C" w:rsidP="00673EDA">
      <w:pPr>
        <w:tabs>
          <w:tab w:val="left" w:pos="231"/>
        </w:tabs>
        <w:spacing w:after="0" w:line="240" w:lineRule="auto"/>
        <w:jc w:val="both"/>
        <w:rPr>
          <w:rFonts w:ascii="Calibri" w:hAnsi="Calibri" w:cs="Calibri"/>
          <w:b/>
          <w:sz w:val="24"/>
          <w:szCs w:val="24"/>
        </w:rPr>
      </w:pPr>
    </w:p>
    <w:p w14:paraId="28F77057" w14:textId="379D8283" w:rsidR="002B5729" w:rsidRDefault="00DA7DE7" w:rsidP="00DA7DE7">
      <w:pPr>
        <w:tabs>
          <w:tab w:val="left" w:pos="421"/>
        </w:tabs>
        <w:rPr>
          <w:rFonts w:ascii="Calibri" w:hAnsi="Calibri" w:cs="Calibri"/>
          <w:sz w:val="24"/>
          <w:szCs w:val="24"/>
        </w:rPr>
      </w:pPr>
      <w:r>
        <w:rPr>
          <w:rFonts w:ascii="Calibri" w:hAnsi="Calibri" w:cs="Calibri"/>
          <w:b/>
          <w:sz w:val="24"/>
          <w:szCs w:val="24"/>
        </w:rPr>
        <w:t>ABSTRACT</w:t>
      </w:r>
      <w:r>
        <w:rPr>
          <w:rFonts w:ascii="Calibri" w:hAnsi="Calibri" w:cs="Calibri"/>
          <w:sz w:val="24"/>
          <w:szCs w:val="24"/>
        </w:rPr>
        <w:t>:</w:t>
      </w:r>
    </w:p>
    <w:p w14:paraId="1704AA82" w14:textId="77777777" w:rsidR="000B6FD2" w:rsidRPr="004D05DD" w:rsidRDefault="00DA7DE7" w:rsidP="006F365B">
      <w:pPr>
        <w:tabs>
          <w:tab w:val="left" w:pos="421"/>
        </w:tabs>
        <w:jc w:val="both"/>
        <w:rPr>
          <w:rFonts w:ascii="Calibri" w:hAnsi="Calibri" w:cs="Calibri"/>
          <w:color w:val="002060"/>
          <w:sz w:val="28"/>
          <w:szCs w:val="24"/>
        </w:rPr>
      </w:pPr>
      <w:r w:rsidRPr="004D05DD">
        <w:rPr>
          <w:rFonts w:ascii="Calibri" w:hAnsi="Calibri" w:cs="Calibri"/>
          <w:color w:val="002060"/>
          <w:sz w:val="28"/>
          <w:szCs w:val="24"/>
        </w:rPr>
        <w:t xml:space="preserve">    </w:t>
      </w:r>
      <w:r w:rsidR="00D67488" w:rsidRPr="004D05DD">
        <w:rPr>
          <w:rFonts w:ascii="Calibri" w:hAnsi="Calibri" w:cs="Calibri"/>
          <w:color w:val="002060"/>
          <w:sz w:val="28"/>
          <w:szCs w:val="24"/>
        </w:rPr>
        <w:t>Due to increasing environmental concerns, the gradual depletion of fossil resources and the increased penetration of highly variable renewable energy (RE) power generation, frequency control and stability are becoming more and more important. Electric vehicles (EVs) with vehicle to grid (V2G) technology have become a promising tool that can mitigate the intermittent effects of renewable energy sources and regulate the system frequency.</w:t>
      </w:r>
      <w:r w:rsidRPr="004D05DD">
        <w:rPr>
          <w:rFonts w:ascii="Calibri" w:hAnsi="Calibri" w:cs="Calibri"/>
          <w:color w:val="002060"/>
          <w:sz w:val="28"/>
          <w:szCs w:val="24"/>
        </w:rPr>
        <w:t xml:space="preserve"> This project</w:t>
      </w:r>
      <w:r w:rsidR="002B06A7" w:rsidRPr="004D05DD">
        <w:rPr>
          <w:rFonts w:ascii="Calibri" w:hAnsi="Calibri" w:cs="Calibri"/>
          <w:color w:val="002060"/>
          <w:sz w:val="28"/>
          <w:szCs w:val="24"/>
        </w:rPr>
        <w:t xml:space="preserve"> particularly</w:t>
      </w:r>
      <w:r w:rsidRPr="004D05DD">
        <w:rPr>
          <w:rFonts w:ascii="Calibri" w:hAnsi="Calibri" w:cs="Calibri"/>
          <w:color w:val="002060"/>
          <w:sz w:val="28"/>
          <w:szCs w:val="24"/>
        </w:rPr>
        <w:t xml:space="preserve"> deals with computation of communication time delays on stability region</w:t>
      </w:r>
      <w:r w:rsidR="000B6FD2" w:rsidRPr="004D05DD">
        <w:rPr>
          <w:rFonts w:ascii="Calibri" w:hAnsi="Calibri" w:cs="Calibri"/>
          <w:color w:val="002060"/>
          <w:sz w:val="28"/>
          <w:szCs w:val="24"/>
        </w:rPr>
        <w:t>s and stability delay margins</w:t>
      </w:r>
      <w:r w:rsidR="00D761FB" w:rsidRPr="004D05DD">
        <w:rPr>
          <w:rFonts w:ascii="Calibri" w:hAnsi="Calibri" w:cs="Calibri"/>
          <w:color w:val="002060"/>
          <w:sz w:val="28"/>
          <w:szCs w:val="24"/>
        </w:rPr>
        <w:t xml:space="preserve"> of the PI controller</w:t>
      </w:r>
      <w:r w:rsidR="000B6FD2" w:rsidRPr="004D05DD">
        <w:rPr>
          <w:rFonts w:ascii="Calibri" w:hAnsi="Calibri" w:cs="Calibri"/>
          <w:color w:val="002060"/>
          <w:sz w:val="28"/>
          <w:szCs w:val="24"/>
        </w:rPr>
        <w:t xml:space="preserve"> between Electric Vehicle (EV) aggregator and smar</w:t>
      </w:r>
      <w:r w:rsidR="00CF430C" w:rsidRPr="004D05DD">
        <w:rPr>
          <w:rFonts w:ascii="Calibri" w:hAnsi="Calibri" w:cs="Calibri"/>
          <w:color w:val="002060"/>
          <w:sz w:val="28"/>
          <w:szCs w:val="24"/>
        </w:rPr>
        <w:t>t grid of a single area</w:t>
      </w:r>
      <w:r w:rsidR="000B6FD2" w:rsidRPr="004D05DD">
        <w:rPr>
          <w:rFonts w:ascii="Calibri" w:hAnsi="Calibri" w:cs="Calibri"/>
          <w:color w:val="002060"/>
          <w:sz w:val="28"/>
          <w:szCs w:val="24"/>
        </w:rPr>
        <w:t xml:space="preserve"> Load </w:t>
      </w:r>
      <w:r w:rsidR="00D67488" w:rsidRPr="004D05DD">
        <w:rPr>
          <w:rFonts w:ascii="Calibri" w:hAnsi="Calibri" w:cs="Calibri"/>
          <w:color w:val="002060"/>
          <w:sz w:val="28"/>
          <w:szCs w:val="24"/>
        </w:rPr>
        <w:t>Frequency Control</w:t>
      </w:r>
      <w:r w:rsidR="00772B21" w:rsidRPr="004D05DD">
        <w:rPr>
          <w:rFonts w:ascii="Calibri" w:hAnsi="Calibri" w:cs="Calibri"/>
          <w:color w:val="002060"/>
          <w:sz w:val="28"/>
          <w:szCs w:val="24"/>
        </w:rPr>
        <w:t xml:space="preserve"> (LFC) </w:t>
      </w:r>
      <w:r w:rsidR="00CF430C" w:rsidRPr="004D05DD">
        <w:rPr>
          <w:rFonts w:ascii="Calibri" w:hAnsi="Calibri" w:cs="Calibri"/>
          <w:color w:val="002060"/>
          <w:sz w:val="28"/>
          <w:szCs w:val="24"/>
        </w:rPr>
        <w:t>system</w:t>
      </w:r>
      <w:r w:rsidR="000B6FD2" w:rsidRPr="004D05DD">
        <w:rPr>
          <w:rFonts w:ascii="Calibri" w:hAnsi="Calibri" w:cs="Calibri"/>
          <w:color w:val="002060"/>
          <w:sz w:val="28"/>
          <w:szCs w:val="24"/>
        </w:rPr>
        <w:t>. Whenever there is</w:t>
      </w:r>
      <w:r w:rsidR="00D761FB" w:rsidRPr="004D05DD">
        <w:rPr>
          <w:rFonts w:ascii="Calibri" w:hAnsi="Calibri" w:cs="Calibri"/>
          <w:color w:val="002060"/>
          <w:sz w:val="28"/>
          <w:szCs w:val="24"/>
        </w:rPr>
        <w:t xml:space="preserve"> heavy</w:t>
      </w:r>
      <w:r w:rsidR="000B6FD2" w:rsidRPr="004D05DD">
        <w:rPr>
          <w:rFonts w:ascii="Calibri" w:hAnsi="Calibri" w:cs="Calibri"/>
          <w:color w:val="002060"/>
          <w:sz w:val="28"/>
          <w:szCs w:val="24"/>
        </w:rPr>
        <w:t xml:space="preserve"> power demand</w:t>
      </w:r>
      <w:r w:rsidR="00D761FB" w:rsidRPr="004D05DD">
        <w:rPr>
          <w:rFonts w:ascii="Calibri" w:hAnsi="Calibri" w:cs="Calibri"/>
          <w:color w:val="002060"/>
          <w:sz w:val="28"/>
          <w:szCs w:val="24"/>
        </w:rPr>
        <w:t xml:space="preserve"> or power shortage</w:t>
      </w:r>
      <w:r w:rsidR="000B6FD2" w:rsidRPr="004D05DD">
        <w:rPr>
          <w:rFonts w:ascii="Calibri" w:hAnsi="Calibri" w:cs="Calibri"/>
          <w:color w:val="002060"/>
          <w:sz w:val="28"/>
          <w:szCs w:val="24"/>
        </w:rPr>
        <w:t xml:space="preserve"> the frequency of the voltage between the tie lines connecting Electric Vehicle Aggregator and smart grid reduces. This reduction in frequency is sensed through sensor and </w:t>
      </w:r>
      <w:r w:rsidR="00D761FB" w:rsidRPr="004D05DD">
        <w:rPr>
          <w:rFonts w:ascii="Calibri" w:hAnsi="Calibri" w:cs="Calibri"/>
          <w:color w:val="002060"/>
          <w:sz w:val="28"/>
          <w:szCs w:val="24"/>
        </w:rPr>
        <w:t xml:space="preserve">the PI controller sends the information to information centre. </w:t>
      </w:r>
      <w:r w:rsidR="00CF430C" w:rsidRPr="004D05DD">
        <w:rPr>
          <w:rFonts w:ascii="Calibri" w:hAnsi="Calibri" w:cs="Calibri"/>
          <w:color w:val="002060"/>
          <w:sz w:val="28"/>
          <w:szCs w:val="24"/>
        </w:rPr>
        <w:t>A graphical method of characterizing stability boundary locus is implemented. For a given time delay, the method computes all the stabilizing gains of PI controller, which constitutes a stability regions in parameters of space of PI controller. Later, in order to complement the stability regions, a frequency domain exact method is used to calculate stability delay margins for various values of PI controller gains. The complete analysis is made in order to pass the information of error in the system within the stability margin delay to bring the system to equilibrium point.</w:t>
      </w:r>
    </w:p>
    <w:p w14:paraId="290E01B6" w14:textId="77777777" w:rsidR="00CF430C" w:rsidRDefault="00CF430C" w:rsidP="006F365B">
      <w:pPr>
        <w:tabs>
          <w:tab w:val="left" w:pos="421"/>
        </w:tabs>
        <w:jc w:val="both"/>
        <w:rPr>
          <w:rFonts w:ascii="Calibri" w:hAnsi="Calibri" w:cs="Calibri"/>
          <w:sz w:val="24"/>
          <w:szCs w:val="24"/>
        </w:rPr>
      </w:pPr>
    </w:p>
    <w:p w14:paraId="19647DB5" w14:textId="3B303D96" w:rsidR="00574128" w:rsidRPr="004D05DD" w:rsidRDefault="00574128" w:rsidP="00574128">
      <w:pPr>
        <w:rPr>
          <w:rFonts w:ascii="Calibri" w:hAnsi="Calibri" w:cs="Calibri"/>
          <w:b/>
          <w:sz w:val="28"/>
          <w:szCs w:val="24"/>
        </w:rPr>
      </w:pPr>
      <w:r w:rsidRPr="004D05DD">
        <w:rPr>
          <w:rFonts w:ascii="Calibri" w:hAnsi="Calibri" w:cs="Calibri"/>
          <w:b/>
          <w:sz w:val="28"/>
          <w:szCs w:val="24"/>
        </w:rPr>
        <w:t xml:space="preserve">REFERENCES: </w:t>
      </w:r>
    </w:p>
    <w:p w14:paraId="3F375362"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 xml:space="preserve">Ausnain Naveed, Sahin Sonmez and Saffet Ayasun, ‘Impact of Electric Vehicle Aggregator with Communication Time Delay on Stability Regions and Stability Delay Margins in Load Frequency Control System,’ </w:t>
      </w:r>
      <w:r w:rsidRPr="004D05DD">
        <w:rPr>
          <w:rFonts w:cstheme="minorHAnsi"/>
          <w:i/>
          <w:color w:val="002060"/>
          <w:sz w:val="28"/>
          <w:szCs w:val="24"/>
        </w:rPr>
        <w:t>Journal of Modern Power Systems and Clean Energy</w:t>
      </w:r>
      <w:r w:rsidRPr="004D05DD">
        <w:rPr>
          <w:rFonts w:cstheme="minorHAnsi"/>
          <w:color w:val="002060"/>
          <w:sz w:val="28"/>
          <w:szCs w:val="24"/>
        </w:rPr>
        <w:t xml:space="preserve">, In Press. DOI: 10.35833/MPCE.2019.000244, 2020, Springer. </w:t>
      </w:r>
      <w:r w:rsidRPr="004D05DD">
        <w:rPr>
          <w:rFonts w:cstheme="minorHAnsi"/>
          <w:sz w:val="28"/>
          <w:szCs w:val="24"/>
        </w:rPr>
        <w:t>(</w:t>
      </w:r>
      <w:r w:rsidRPr="004D05DD">
        <w:rPr>
          <w:rFonts w:cstheme="minorHAnsi"/>
          <w:b/>
          <w:sz w:val="28"/>
          <w:szCs w:val="24"/>
        </w:rPr>
        <w:t>BASE PAPER</w:t>
      </w:r>
      <w:r w:rsidRPr="004D05DD">
        <w:rPr>
          <w:rFonts w:cstheme="minorHAnsi"/>
          <w:sz w:val="28"/>
          <w:szCs w:val="24"/>
        </w:rPr>
        <w:t>)</w:t>
      </w:r>
    </w:p>
    <w:p w14:paraId="4886AD25" w14:textId="77777777" w:rsidR="00B948C2" w:rsidRPr="004D05DD" w:rsidRDefault="00B948C2" w:rsidP="00B948C2">
      <w:pPr>
        <w:pStyle w:val="ListParagraph"/>
        <w:rPr>
          <w:rFonts w:cstheme="minorHAnsi"/>
          <w:color w:val="002060"/>
          <w:sz w:val="28"/>
          <w:szCs w:val="24"/>
        </w:rPr>
      </w:pPr>
    </w:p>
    <w:p w14:paraId="71AD3669"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lastRenderedPageBreak/>
        <w:t>Hakan Gunduz, Sahin Sonmez and Saffet Ayasun, ‘Impact of Electric Vehicles Aggregator on the Stability Region Micro-Grid System with Communication Time Delay,’ 2019 IEEE Milan Power Tech.</w:t>
      </w:r>
    </w:p>
    <w:p w14:paraId="1D0D4F69" w14:textId="77777777" w:rsidR="00B948C2" w:rsidRPr="004D05DD" w:rsidRDefault="00B948C2" w:rsidP="00B948C2">
      <w:pPr>
        <w:pStyle w:val="Default"/>
        <w:rPr>
          <w:rFonts w:asciiTheme="minorHAnsi" w:hAnsiTheme="minorHAnsi" w:cstheme="minorHAnsi"/>
          <w:color w:val="002060"/>
          <w:sz w:val="28"/>
        </w:rPr>
      </w:pPr>
    </w:p>
    <w:p w14:paraId="22AC2CF6"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4"/>
        </w:rPr>
        <w:t xml:space="preserve"> </w:t>
      </w:r>
      <w:r w:rsidRPr="004D05DD">
        <w:rPr>
          <w:rFonts w:cstheme="minorHAnsi"/>
          <w:color w:val="002060"/>
          <w:sz w:val="28"/>
          <w:szCs w:val="24"/>
        </w:rPr>
        <w:t>Vijay P. Singh, Nand Kishor</w:t>
      </w:r>
      <w:r w:rsidRPr="004D05DD">
        <w:rPr>
          <w:rFonts w:eastAsia="ICNEH K+ MTSY" w:cstheme="minorHAnsi"/>
          <w:color w:val="002060"/>
          <w:sz w:val="28"/>
          <w:szCs w:val="24"/>
        </w:rPr>
        <w:t xml:space="preserve">, and Paulson Samuel, ‘Communication Time Delay Estimation for Load Frequency Control in Two Area Power Systems,’ </w:t>
      </w:r>
      <w:r w:rsidRPr="004D05DD">
        <w:rPr>
          <w:rFonts w:eastAsia="ICNEH K+ MTSY" w:cstheme="minorHAnsi"/>
          <w:i/>
          <w:color w:val="002060"/>
          <w:sz w:val="28"/>
          <w:szCs w:val="24"/>
        </w:rPr>
        <w:t>Ad Hoc Networks</w:t>
      </w:r>
      <w:r w:rsidRPr="004D05DD">
        <w:rPr>
          <w:rFonts w:eastAsia="ICNEH K+ MTSY" w:cstheme="minorHAnsi"/>
          <w:color w:val="002060"/>
          <w:sz w:val="28"/>
          <w:szCs w:val="24"/>
        </w:rPr>
        <w:t>, Vol. 41, No. 1, pp. 69-85, May 2016.</w:t>
      </w:r>
    </w:p>
    <w:p w14:paraId="4245AD96" w14:textId="77777777" w:rsidR="00B948C2" w:rsidRPr="004D05DD" w:rsidRDefault="00B948C2" w:rsidP="00B948C2">
      <w:pPr>
        <w:pStyle w:val="ListParagraph"/>
        <w:rPr>
          <w:rFonts w:cstheme="minorHAnsi"/>
          <w:color w:val="002060"/>
          <w:sz w:val="28"/>
          <w:szCs w:val="24"/>
        </w:rPr>
      </w:pPr>
    </w:p>
    <w:p w14:paraId="062133A1"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Ausnain Naveed, Sahin Sonmez and Saffet Ayasun, ‘Stability Regions in the Parameter Space for LFC System with EV Aggregator and Incommensurate Time Delays,’ 1</w:t>
      </w:r>
      <w:r w:rsidRPr="004D05DD">
        <w:rPr>
          <w:rFonts w:cstheme="minorHAnsi"/>
          <w:color w:val="002060"/>
          <w:sz w:val="28"/>
          <w:szCs w:val="24"/>
          <w:vertAlign w:val="superscript"/>
        </w:rPr>
        <w:t>st</w:t>
      </w:r>
      <w:r w:rsidRPr="004D05DD">
        <w:rPr>
          <w:rFonts w:cstheme="minorHAnsi"/>
          <w:color w:val="002060"/>
          <w:sz w:val="28"/>
          <w:szCs w:val="24"/>
        </w:rPr>
        <w:t xml:space="preserve"> IEEE Global Power Energy and Communication Conference (GPECOM 2019), June 12-15, 2019, Cappadocia, Turkey.</w:t>
      </w:r>
    </w:p>
    <w:p w14:paraId="42C65CB0" w14:textId="77777777" w:rsidR="00B948C2" w:rsidRPr="004D05DD" w:rsidRDefault="00B948C2" w:rsidP="00B948C2">
      <w:pPr>
        <w:pStyle w:val="ListParagraph"/>
        <w:rPr>
          <w:rFonts w:cstheme="minorHAnsi"/>
          <w:color w:val="002060"/>
          <w:sz w:val="28"/>
          <w:szCs w:val="24"/>
        </w:rPr>
      </w:pPr>
    </w:p>
    <w:p w14:paraId="4EDEA46D" w14:textId="77777777" w:rsidR="00B948C2" w:rsidRPr="004D05DD" w:rsidRDefault="00B948C2" w:rsidP="00B948C2">
      <w:pPr>
        <w:pStyle w:val="ListParagraph"/>
        <w:numPr>
          <w:ilvl w:val="0"/>
          <w:numId w:val="4"/>
        </w:numPr>
        <w:autoSpaceDE w:val="0"/>
        <w:autoSpaceDN w:val="0"/>
        <w:adjustRightInd w:val="0"/>
        <w:spacing w:after="0" w:line="240" w:lineRule="auto"/>
        <w:jc w:val="both"/>
        <w:rPr>
          <w:rFonts w:cstheme="minorHAnsi"/>
          <w:color w:val="002060"/>
          <w:sz w:val="28"/>
          <w:szCs w:val="24"/>
        </w:rPr>
      </w:pPr>
      <w:r w:rsidRPr="004D05DD">
        <w:rPr>
          <w:rFonts w:cstheme="minorHAnsi"/>
          <w:color w:val="002060"/>
          <w:sz w:val="28"/>
          <w:szCs w:val="24"/>
        </w:rPr>
        <w:t xml:space="preserve">Han, Y., Zhang, K., Hong, L., Coelho, E. A. A., and Guerrero, J. M,  ‘MAS-based Distributed Coordinated Control and Optimization in Microgrid and Microgrid Clusters: A Comprehensive Overview.’ </w:t>
      </w:r>
      <w:r w:rsidRPr="004D05DD">
        <w:rPr>
          <w:rFonts w:cstheme="minorHAnsi"/>
          <w:i/>
          <w:iCs/>
          <w:color w:val="002060"/>
          <w:sz w:val="28"/>
          <w:szCs w:val="24"/>
        </w:rPr>
        <w:t>IEEE Transactions on Power Electronics</w:t>
      </w:r>
      <w:r w:rsidRPr="004D05DD">
        <w:rPr>
          <w:rFonts w:cstheme="minorHAnsi"/>
          <w:color w:val="002060"/>
          <w:sz w:val="28"/>
          <w:szCs w:val="24"/>
        </w:rPr>
        <w:t xml:space="preserve">, Vol. </w:t>
      </w:r>
      <w:r w:rsidRPr="004D05DD">
        <w:rPr>
          <w:rFonts w:cstheme="minorHAnsi"/>
          <w:iCs/>
          <w:color w:val="002060"/>
          <w:sz w:val="28"/>
          <w:szCs w:val="24"/>
        </w:rPr>
        <w:t>33</w:t>
      </w:r>
      <w:r w:rsidRPr="004D05DD">
        <w:rPr>
          <w:rFonts w:cstheme="minorHAnsi"/>
          <w:color w:val="002060"/>
          <w:sz w:val="28"/>
          <w:szCs w:val="24"/>
        </w:rPr>
        <w:t>, No. 8, pp. 6488-6508, 2018.</w:t>
      </w:r>
    </w:p>
    <w:p w14:paraId="4E56D74B" w14:textId="77777777" w:rsidR="00B948C2" w:rsidRPr="004D05DD" w:rsidRDefault="00B948C2" w:rsidP="00B948C2">
      <w:pPr>
        <w:pStyle w:val="ListParagraph"/>
        <w:rPr>
          <w:rFonts w:cstheme="minorHAnsi"/>
          <w:color w:val="002060"/>
          <w:sz w:val="28"/>
          <w:szCs w:val="24"/>
        </w:rPr>
      </w:pPr>
    </w:p>
    <w:p w14:paraId="748E2F16"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 xml:space="preserve"> </w:t>
      </w:r>
      <w:r w:rsidRPr="004D05DD">
        <w:rPr>
          <w:rFonts w:cstheme="minorHAnsi"/>
          <w:color w:val="002060"/>
          <w:sz w:val="28"/>
          <w:szCs w:val="24"/>
          <w:shd w:val="clear" w:color="auto" w:fill="FFFFFF"/>
        </w:rPr>
        <w:t xml:space="preserve">H. Luo, I. A. Hiskens and Z. Hu, ‘Stability Analysis of Load Frequency Control Systems With Sampling and Transmission Delay,’ </w:t>
      </w:r>
      <w:r w:rsidRPr="004D05DD">
        <w:rPr>
          <w:rStyle w:val="Emphasis"/>
          <w:rFonts w:cstheme="minorHAnsi"/>
          <w:color w:val="002060"/>
          <w:sz w:val="28"/>
          <w:szCs w:val="24"/>
          <w:shd w:val="clear" w:color="auto" w:fill="FFFFFF"/>
        </w:rPr>
        <w:t>IEEE Transactions on Power Systems</w:t>
      </w:r>
      <w:r w:rsidRPr="004D05DD">
        <w:rPr>
          <w:rFonts w:cstheme="minorHAnsi"/>
          <w:color w:val="002060"/>
          <w:sz w:val="28"/>
          <w:szCs w:val="24"/>
          <w:shd w:val="clear" w:color="auto" w:fill="FFFFFF"/>
        </w:rPr>
        <w:t>, Vol. 35, No. 5, pp. 3603-3615, Sept. 2020</w:t>
      </w:r>
    </w:p>
    <w:p w14:paraId="0DB14CD7" w14:textId="77777777" w:rsidR="00B948C2" w:rsidRPr="004D05DD" w:rsidRDefault="00B948C2" w:rsidP="00B948C2">
      <w:pPr>
        <w:pStyle w:val="ListParagraph"/>
        <w:rPr>
          <w:rFonts w:cstheme="minorHAnsi"/>
          <w:color w:val="002060"/>
          <w:sz w:val="28"/>
          <w:szCs w:val="24"/>
        </w:rPr>
      </w:pPr>
    </w:p>
    <w:p w14:paraId="65DD92AB"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shd w:val="clear" w:color="auto" w:fill="FFFFFF"/>
        </w:rPr>
        <w:t>K. S. Ko and D. K. Sung, ‘The Effect of EV Aggregators With Time-Varying Delays on the Stability of a Load Frequency Control System,’ </w:t>
      </w:r>
      <w:r w:rsidRPr="004D05DD">
        <w:rPr>
          <w:rStyle w:val="Emphasis"/>
          <w:rFonts w:cstheme="minorHAnsi"/>
          <w:color w:val="002060"/>
          <w:sz w:val="28"/>
          <w:szCs w:val="24"/>
          <w:shd w:val="clear" w:color="auto" w:fill="FFFFFF"/>
        </w:rPr>
        <w:t>IEEE Transactions on Power Systems</w:t>
      </w:r>
      <w:r w:rsidRPr="004D05DD">
        <w:rPr>
          <w:rFonts w:cstheme="minorHAnsi"/>
          <w:color w:val="002060"/>
          <w:sz w:val="28"/>
          <w:szCs w:val="24"/>
          <w:shd w:val="clear" w:color="auto" w:fill="FFFFFF"/>
        </w:rPr>
        <w:t>, Vol. 33, No. 1, pp. 669-680, Jan. 2018</w:t>
      </w:r>
    </w:p>
    <w:p w14:paraId="00509DAA" w14:textId="77777777" w:rsidR="00B948C2" w:rsidRPr="004D05DD" w:rsidRDefault="00B948C2" w:rsidP="00B948C2">
      <w:pPr>
        <w:pStyle w:val="ListParagraph"/>
        <w:rPr>
          <w:rFonts w:cstheme="minorHAnsi"/>
          <w:color w:val="002060"/>
          <w:sz w:val="28"/>
          <w:szCs w:val="24"/>
        </w:rPr>
      </w:pPr>
    </w:p>
    <w:p w14:paraId="2FBD39AE" w14:textId="77777777" w:rsidR="00B948C2" w:rsidRPr="004D05DD" w:rsidRDefault="00B948C2" w:rsidP="00B948C2">
      <w:pPr>
        <w:pStyle w:val="ListParagraph"/>
        <w:numPr>
          <w:ilvl w:val="0"/>
          <w:numId w:val="4"/>
        </w:numPr>
        <w:spacing w:after="0" w:line="300" w:lineRule="atLeast"/>
        <w:jc w:val="both"/>
        <w:rPr>
          <w:rFonts w:cstheme="minorHAnsi"/>
          <w:color w:val="002060"/>
          <w:sz w:val="28"/>
          <w:szCs w:val="24"/>
        </w:rPr>
      </w:pPr>
      <w:r w:rsidRPr="004D05DD">
        <w:rPr>
          <w:rFonts w:cstheme="minorHAnsi"/>
          <w:color w:val="002060"/>
          <w:sz w:val="28"/>
          <w:szCs w:val="24"/>
        </w:rPr>
        <w:t>Deniz Katipoglu, Sahin Sonmez and Saffet Ayasun, ‘Stability Delay Margin Computation of Load Frequency Control System with Demand Response,’ 1</w:t>
      </w:r>
      <w:r w:rsidRPr="004D05DD">
        <w:rPr>
          <w:rFonts w:cstheme="minorHAnsi"/>
          <w:color w:val="002060"/>
          <w:sz w:val="28"/>
          <w:szCs w:val="24"/>
          <w:vertAlign w:val="superscript"/>
        </w:rPr>
        <w:t>st</w:t>
      </w:r>
      <w:r w:rsidRPr="004D05DD">
        <w:rPr>
          <w:rFonts w:cstheme="minorHAnsi"/>
          <w:color w:val="002060"/>
          <w:sz w:val="28"/>
          <w:szCs w:val="24"/>
        </w:rPr>
        <w:t xml:space="preserve"> IEEE Global Power Energy and Communication Conference (GPECOM 2019), June 12-15, 2019, Cappadocia, Turkey.</w:t>
      </w:r>
    </w:p>
    <w:p w14:paraId="095AA786" w14:textId="77777777" w:rsidR="00B948C2" w:rsidRPr="004D05DD" w:rsidRDefault="00B948C2" w:rsidP="00B948C2">
      <w:pPr>
        <w:pStyle w:val="ListParagraph"/>
        <w:rPr>
          <w:rFonts w:cstheme="minorHAnsi"/>
          <w:color w:val="002060"/>
          <w:sz w:val="28"/>
          <w:szCs w:val="24"/>
        </w:rPr>
      </w:pPr>
    </w:p>
    <w:p w14:paraId="75D98356" w14:textId="77777777" w:rsidR="00B948C2" w:rsidRPr="004D05DD" w:rsidRDefault="00B948C2" w:rsidP="00B948C2">
      <w:pPr>
        <w:rPr>
          <w:rFonts w:cstheme="minorHAnsi"/>
          <w:color w:val="002060"/>
          <w:sz w:val="28"/>
          <w:szCs w:val="24"/>
        </w:rPr>
      </w:pPr>
    </w:p>
    <w:p w14:paraId="34907B45" w14:textId="77777777" w:rsidR="002F0C07" w:rsidRPr="004D05DD" w:rsidRDefault="002F0C07">
      <w:pPr>
        <w:rPr>
          <w:rFonts w:cstheme="minorHAnsi"/>
          <w:color w:val="002060"/>
          <w:sz w:val="28"/>
          <w:szCs w:val="24"/>
        </w:rPr>
      </w:pPr>
    </w:p>
    <w:p w14:paraId="25D5D7D1" w14:textId="77777777" w:rsidR="000C01F3" w:rsidRPr="004D05DD" w:rsidRDefault="000C01F3" w:rsidP="00DA7DE7">
      <w:pPr>
        <w:tabs>
          <w:tab w:val="left" w:pos="421"/>
        </w:tabs>
        <w:rPr>
          <w:rFonts w:cstheme="minorHAnsi"/>
          <w:sz w:val="28"/>
          <w:szCs w:val="24"/>
        </w:rPr>
      </w:pPr>
    </w:p>
    <w:p w14:paraId="17C526EC" w14:textId="77777777" w:rsidR="000C01F3" w:rsidRPr="004D05DD" w:rsidRDefault="000C01F3">
      <w:pPr>
        <w:rPr>
          <w:rFonts w:cstheme="minorHAnsi"/>
          <w:sz w:val="28"/>
          <w:szCs w:val="24"/>
        </w:rPr>
      </w:pPr>
      <w:r w:rsidRPr="004D05DD">
        <w:rPr>
          <w:rFonts w:cstheme="minorHAnsi"/>
          <w:sz w:val="28"/>
          <w:szCs w:val="24"/>
        </w:rPr>
        <w:lastRenderedPageBreak/>
        <w:br w:type="page"/>
      </w:r>
    </w:p>
    <w:p w14:paraId="0172F5D8" w14:textId="63620666" w:rsidR="00574128" w:rsidRDefault="000C01F3" w:rsidP="00DA7DE7">
      <w:pPr>
        <w:tabs>
          <w:tab w:val="left" w:pos="421"/>
        </w:tabs>
        <w:rPr>
          <w:rFonts w:cstheme="minorHAnsi"/>
          <w:b/>
          <w:sz w:val="28"/>
          <w:szCs w:val="24"/>
        </w:rPr>
      </w:pPr>
      <w:r w:rsidRPr="00C870A1">
        <w:rPr>
          <w:rFonts w:cstheme="minorHAnsi"/>
          <w:b/>
          <w:sz w:val="28"/>
          <w:szCs w:val="24"/>
        </w:rPr>
        <w:lastRenderedPageBreak/>
        <w:t>APPROVAL FROM GUIDE:</w:t>
      </w:r>
    </w:p>
    <w:p w14:paraId="429C7024" w14:textId="77777777" w:rsidR="00C870A1" w:rsidRDefault="00C870A1" w:rsidP="00DA7DE7">
      <w:pPr>
        <w:tabs>
          <w:tab w:val="left" w:pos="421"/>
        </w:tabs>
        <w:rPr>
          <w:rFonts w:cstheme="minorHAnsi"/>
          <w:b/>
          <w:sz w:val="28"/>
          <w:szCs w:val="24"/>
        </w:rPr>
      </w:pPr>
    </w:p>
    <w:p w14:paraId="6762EF48" w14:textId="77777777" w:rsidR="00C870A1" w:rsidRPr="00C870A1" w:rsidRDefault="00C870A1" w:rsidP="00DA7DE7">
      <w:pPr>
        <w:tabs>
          <w:tab w:val="left" w:pos="421"/>
        </w:tabs>
        <w:rPr>
          <w:rFonts w:cstheme="minorHAnsi"/>
          <w:b/>
          <w:sz w:val="28"/>
          <w:szCs w:val="24"/>
        </w:rPr>
      </w:pPr>
    </w:p>
    <w:p w14:paraId="324E053C" w14:textId="77777777" w:rsidR="000C01F3" w:rsidRDefault="000C01F3" w:rsidP="00DA7DE7">
      <w:pPr>
        <w:tabs>
          <w:tab w:val="left" w:pos="421"/>
        </w:tabs>
        <w:rPr>
          <w:rFonts w:cstheme="minorHAnsi"/>
          <w:b/>
          <w:sz w:val="24"/>
          <w:szCs w:val="24"/>
        </w:rPr>
      </w:pPr>
    </w:p>
    <w:p w14:paraId="762B9740" w14:textId="77777777" w:rsidR="000C01F3" w:rsidRPr="000C01F3" w:rsidRDefault="000C01F3" w:rsidP="00DA7DE7">
      <w:pPr>
        <w:tabs>
          <w:tab w:val="left" w:pos="421"/>
        </w:tabs>
        <w:rPr>
          <w:rFonts w:cstheme="minorHAnsi"/>
          <w:b/>
          <w:sz w:val="24"/>
          <w:szCs w:val="24"/>
        </w:rPr>
      </w:pPr>
      <w:r>
        <w:rPr>
          <w:rFonts w:cstheme="minorHAnsi"/>
          <w:b/>
          <w:noProof/>
          <w:sz w:val="24"/>
          <w:szCs w:val="24"/>
        </w:rPr>
        <w:drawing>
          <wp:inline distT="0" distB="0" distL="0" distR="0" wp14:anchorId="01567065" wp14:editId="6C229167">
            <wp:extent cx="5943600" cy="4606290"/>
            <wp:effectExtent l="19050" t="0" r="0" b="0"/>
            <wp:docPr id="1" name="Picture 0" descr="approval 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al foto.jpg"/>
                    <pic:cNvPicPr/>
                  </pic:nvPicPr>
                  <pic:blipFill>
                    <a:blip r:embed="rId6"/>
                    <a:stretch>
                      <a:fillRect/>
                    </a:stretch>
                  </pic:blipFill>
                  <pic:spPr>
                    <a:xfrm>
                      <a:off x="0" y="0"/>
                      <a:ext cx="5943600" cy="4606290"/>
                    </a:xfrm>
                    <a:prstGeom prst="rect">
                      <a:avLst/>
                    </a:prstGeom>
                  </pic:spPr>
                </pic:pic>
              </a:graphicData>
            </a:graphic>
          </wp:inline>
        </w:drawing>
      </w:r>
    </w:p>
    <w:sectPr w:rsidR="000C01F3" w:rsidRPr="000C01F3" w:rsidSect="002B572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erif Condensed">
    <w:altName w:val="Times New Roman"/>
    <w:charset w:val="00"/>
    <w:family w:val="roman"/>
    <w:pitch w:val="variable"/>
  </w:font>
  <w:font w:name="ICMNB I+ Gulliver">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CNEH K+ MTSY">
    <w:altName w:val="Malgun Gothic"/>
    <w:panose1 w:val="00000000000000000000"/>
    <w:charset w:val="81"/>
    <w:family w:val="swiss"/>
    <w:notTrueType/>
    <w:pitch w:val="default"/>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DB127F8"/>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2C3DE1"/>
    <w:multiLevelType w:val="hybridMultilevel"/>
    <w:tmpl w:val="CCEAC536"/>
    <w:lvl w:ilvl="0" w:tplc="4EAA37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34851"/>
    <w:multiLevelType w:val="hybridMultilevel"/>
    <w:tmpl w:val="0CF466E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15:restartNumberingAfterBreak="0">
    <w:nsid w:val="3D843C7F"/>
    <w:multiLevelType w:val="hybridMultilevel"/>
    <w:tmpl w:val="CCEAC536"/>
    <w:lvl w:ilvl="0" w:tplc="4EAA37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C5B89"/>
    <w:multiLevelType w:val="hybridMultilevel"/>
    <w:tmpl w:val="4E187D08"/>
    <w:lvl w:ilvl="0" w:tplc="20167036">
      <w:start w:val="1"/>
      <w:numFmt w:val="decimal"/>
      <w:lvlText w:val="%1."/>
      <w:lvlJc w:val="left"/>
      <w:pPr>
        <w:ind w:left="720" w:hanging="360"/>
      </w:pPr>
      <w:rPr>
        <w:rFonts w:ascii="Century Schoolbook" w:hAnsi="Century Schoolbook"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E7"/>
    <w:rsid w:val="00000AEF"/>
    <w:rsid w:val="00046AEB"/>
    <w:rsid w:val="000548DC"/>
    <w:rsid w:val="00082DCE"/>
    <w:rsid w:val="00086B8D"/>
    <w:rsid w:val="000B6FD2"/>
    <w:rsid w:val="000C01F3"/>
    <w:rsid w:val="001D5A5C"/>
    <w:rsid w:val="00262BEE"/>
    <w:rsid w:val="00296B9B"/>
    <w:rsid w:val="002A68E9"/>
    <w:rsid w:val="002B06A7"/>
    <w:rsid w:val="002B5729"/>
    <w:rsid w:val="002C11C0"/>
    <w:rsid w:val="002C1A92"/>
    <w:rsid w:val="002E0C7C"/>
    <w:rsid w:val="002F0C07"/>
    <w:rsid w:val="00374B08"/>
    <w:rsid w:val="003B7E7C"/>
    <w:rsid w:val="003C1CF8"/>
    <w:rsid w:val="004D05DD"/>
    <w:rsid w:val="00506B60"/>
    <w:rsid w:val="00574128"/>
    <w:rsid w:val="005B0189"/>
    <w:rsid w:val="005B63D6"/>
    <w:rsid w:val="005B78EC"/>
    <w:rsid w:val="005C65EB"/>
    <w:rsid w:val="005E5AE3"/>
    <w:rsid w:val="0066324A"/>
    <w:rsid w:val="00673EDA"/>
    <w:rsid w:val="006F365B"/>
    <w:rsid w:val="00703314"/>
    <w:rsid w:val="00772B21"/>
    <w:rsid w:val="00773181"/>
    <w:rsid w:val="007B399C"/>
    <w:rsid w:val="00813986"/>
    <w:rsid w:val="00835A76"/>
    <w:rsid w:val="00986F8B"/>
    <w:rsid w:val="009A5F55"/>
    <w:rsid w:val="00A100EF"/>
    <w:rsid w:val="00B948C2"/>
    <w:rsid w:val="00C30B91"/>
    <w:rsid w:val="00C31E9C"/>
    <w:rsid w:val="00C870A1"/>
    <w:rsid w:val="00C90D8C"/>
    <w:rsid w:val="00CE1CA7"/>
    <w:rsid w:val="00CF430C"/>
    <w:rsid w:val="00D67488"/>
    <w:rsid w:val="00D761FB"/>
    <w:rsid w:val="00D96CED"/>
    <w:rsid w:val="00DA7DE7"/>
    <w:rsid w:val="00E84DA9"/>
    <w:rsid w:val="00F1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ECDD"/>
  <w15:docId w15:val="{8DB2864F-A3BB-4B48-A613-9D658939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28"/>
    <w:pPr>
      <w:ind w:left="720"/>
      <w:contextualSpacing/>
    </w:pPr>
  </w:style>
  <w:style w:type="table" w:styleId="TableGrid">
    <w:name w:val="Table Grid"/>
    <w:basedOn w:val="TableNormal"/>
    <w:uiPriority w:val="59"/>
    <w:rsid w:val="00E84D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506B60"/>
    <w:pPr>
      <w:widowControl w:val="0"/>
      <w:autoSpaceDE w:val="0"/>
      <w:autoSpaceDN w:val="0"/>
      <w:spacing w:after="0" w:line="240" w:lineRule="auto"/>
    </w:pPr>
    <w:rPr>
      <w:rFonts w:ascii="DejaVu Serif Condensed" w:eastAsia="DejaVu Serif Condensed" w:hAnsi="DejaVu Serif Condensed" w:cs="DejaVu Serif Condensed"/>
      <w:sz w:val="16"/>
      <w:szCs w:val="16"/>
    </w:rPr>
  </w:style>
  <w:style w:type="character" w:customStyle="1" w:styleId="BodyTextChar">
    <w:name w:val="Body Text Char"/>
    <w:basedOn w:val="DefaultParagraphFont"/>
    <w:link w:val="BodyText"/>
    <w:uiPriority w:val="1"/>
    <w:rsid w:val="00506B60"/>
    <w:rPr>
      <w:rFonts w:ascii="DejaVu Serif Condensed" w:eastAsia="DejaVu Serif Condensed" w:hAnsi="DejaVu Serif Condensed" w:cs="DejaVu Serif Condensed"/>
      <w:sz w:val="16"/>
      <w:szCs w:val="16"/>
    </w:rPr>
  </w:style>
  <w:style w:type="character" w:styleId="Hyperlink">
    <w:name w:val="Hyperlink"/>
    <w:basedOn w:val="DefaultParagraphFont"/>
    <w:uiPriority w:val="99"/>
    <w:unhideWhenUsed/>
    <w:rsid w:val="00296B9B"/>
    <w:rPr>
      <w:color w:val="0000FF" w:themeColor="hyperlink"/>
      <w:u w:val="single"/>
    </w:rPr>
  </w:style>
  <w:style w:type="paragraph" w:customStyle="1" w:styleId="Default">
    <w:name w:val="Default"/>
    <w:rsid w:val="00B948C2"/>
    <w:pPr>
      <w:autoSpaceDE w:val="0"/>
      <w:autoSpaceDN w:val="0"/>
      <w:adjustRightInd w:val="0"/>
      <w:spacing w:after="0" w:line="240" w:lineRule="auto"/>
    </w:pPr>
    <w:rPr>
      <w:rFonts w:ascii="ICMNB I+ Gulliver" w:hAnsi="ICMNB I+ Gulliver" w:cs="ICMNB I+ Gulliver"/>
      <w:color w:val="000000"/>
      <w:sz w:val="24"/>
      <w:szCs w:val="24"/>
    </w:rPr>
  </w:style>
  <w:style w:type="character" w:styleId="Emphasis">
    <w:name w:val="Emphasis"/>
    <w:basedOn w:val="DefaultParagraphFont"/>
    <w:uiPriority w:val="20"/>
    <w:qFormat/>
    <w:rsid w:val="00B948C2"/>
    <w:rPr>
      <w:i/>
      <w:iCs/>
    </w:rPr>
  </w:style>
  <w:style w:type="paragraph" w:styleId="BalloonText">
    <w:name w:val="Balloon Text"/>
    <w:basedOn w:val="Normal"/>
    <w:link w:val="BalloonTextChar"/>
    <w:uiPriority w:val="99"/>
    <w:semiHidden/>
    <w:unhideWhenUsed/>
    <w:rsid w:val="000C0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9DA4-9DD5-496F-B148-A49EAA6F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Sharini</dc:creator>
  <cp:keywords/>
  <dc:description/>
  <cp:lastModifiedBy>Vamshi</cp:lastModifiedBy>
  <cp:revision>1</cp:revision>
  <dcterms:created xsi:type="dcterms:W3CDTF">2020-09-16T09:14:00Z</dcterms:created>
  <dcterms:modified xsi:type="dcterms:W3CDTF">2020-09-19T05:41:00Z</dcterms:modified>
</cp:coreProperties>
</file>