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Synthetic pHEMT / MMIC Yield Correlation Ground Truth</w:t>
      </w:r>
    </w:p>
    <w:p>
      <w:pPr>
        <w:jc w:val="center"/>
      </w:pPr>
      <w:r>
        <w:t>Reference report for validating whether the AI system rediscovers the deliberately planted yield relationships in the 1,500-wafer synthetic dataset.</w:t>
      </w:r>
    </w:p>
    <w:p>
      <w:pPr>
        <w:pStyle w:val="Heading1"/>
      </w:pPr>
      <w:r>
        <w:t>Planted correlations and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Parameter(s)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AI should find</w:t>
            </w:r>
          </w:p>
        </w:tc>
      </w:tr>
      <w:tr>
        <w:tc>
          <w:tcPr>
            <w:tcW w:type="dxa" w:w="2556"/>
            <w:vAlign w:val="center"/>
          </w:tcPr>
          <w:p>
            <w:r>
              <w:t>Gate CD optimum</w:t>
            </w:r>
          </w:p>
        </w:tc>
        <w:tc>
          <w:tcPr>
            <w:tcW w:type="dxa" w:w="2556"/>
            <w:vAlign w:val="center"/>
          </w:tcPr>
          <w:p>
            <w:r>
              <w:t>GATE2_CD_Gate_Leg_Length</w:t>
            </w:r>
          </w:p>
        </w:tc>
        <w:tc>
          <w:tcPr>
            <w:tcW w:type="dxa" w:w="2556"/>
            <w:vAlign w:val="center"/>
          </w:tcPr>
          <w:p>
            <w:r>
              <w:t>Nonlinear U-shaped</w:t>
            </w:r>
          </w:p>
        </w:tc>
        <w:tc>
          <w:tcPr>
            <w:tcW w:type="dxa" w:w="2556"/>
            <w:vAlign w:val="center"/>
          </w:tcPr>
          <w:p>
            <w:r>
              <w:t>Best yield near each technology's gate-length target; yield falls on either side.</w:t>
            </w:r>
          </w:p>
        </w:tc>
      </w:tr>
      <w:tr>
        <w:tc>
          <w:tcPr>
            <w:tcW w:type="dxa" w:w="2556"/>
            <w:vAlign w:val="center"/>
          </w:tcPr>
          <w:p>
            <w:r>
              <w:t>PAE benefit</w:t>
            </w:r>
          </w:p>
        </w:tc>
        <w:tc>
          <w:tcPr>
            <w:tcW w:type="dxa" w:w="2556"/>
            <w:vAlign w:val="center"/>
          </w:tcPr>
          <w:p>
            <w:r>
              <w:t>TOPSIN_ET_Load_Pull_P.A.E_Last</w:t>
            </w:r>
          </w:p>
        </w:tc>
        <w:tc>
          <w:tcPr>
            <w:tcW w:type="dxa" w:w="2556"/>
            <w:vAlign w:val="center"/>
          </w:tcPr>
          <w:p>
            <w:r>
              <w:t>Direct positive</w:t>
            </w:r>
          </w:p>
        </w:tc>
        <w:tc>
          <w:tcPr>
            <w:tcW w:type="dxa" w:w="2556"/>
            <w:vAlign w:val="center"/>
          </w:tcPr>
          <w:p>
            <w:r>
              <w:t>Approximately +0.33 sorting-yield point per +1 PAE point around nominal.</w:t>
            </w:r>
          </w:p>
        </w:tc>
      </w:tr>
      <w:tr>
        <w:tc>
          <w:tcPr>
            <w:tcW w:type="dxa" w:w="2556"/>
            <w:vAlign w:val="center"/>
          </w:tcPr>
          <w:p>
            <w:r>
              <w:t>Drain-lag penalty</w:t>
            </w:r>
          </w:p>
        </w:tc>
        <w:tc>
          <w:tcPr>
            <w:tcW w:type="dxa" w:w="2556"/>
            <w:vAlign w:val="center"/>
          </w:tcPr>
          <w:p>
            <w:r>
              <w:t>TOPSIN_ET_DC_PIV_Drain_Lag_1</w:t>
            </w:r>
          </w:p>
        </w:tc>
        <w:tc>
          <w:tcPr>
            <w:tcW w:type="dxa" w:w="2556"/>
            <w:vAlign w:val="center"/>
          </w:tcPr>
          <w:p>
            <w:r>
              <w:t>Threshold / negative</w:t>
            </w:r>
          </w:p>
        </w:tc>
        <w:tc>
          <w:tcPr>
            <w:tcW w:type="dxa" w:w="2556"/>
            <w:vAlign w:val="center"/>
          </w:tcPr>
          <w:p>
            <w:r>
              <w:t>Little penalty below ~7; above ~7 the yield penalty increases.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Gate CD × SiN thickness</w:t>
            </w:r>
          </w:p>
        </w:tc>
        <w:tc>
          <w:tcPr>
            <w:tcW w:type="dxa" w:w="2556"/>
            <w:vAlign w:val="center"/>
          </w:tcPr>
          <w:p>
            <w:r>
              <w:t>GATE2_CD_Gate_Leg_Length + SIN_Thickness_SiN_Thickness</w:t>
            </w:r>
          </w:p>
        </w:tc>
        <w:tc>
          <w:tcPr>
            <w:tcW w:type="dxa" w:w="2556"/>
            <w:vAlign w:val="center"/>
          </w:tcPr>
          <w:p>
            <w:r>
              <w:t>2-factor interaction</w:t>
            </w:r>
          </w:p>
        </w:tc>
        <w:tc>
          <w:tcPr>
            <w:tcW w:type="dxa" w:w="2556"/>
            <w:vAlign w:val="center"/>
          </w:tcPr>
          <w:p>
            <w:r>
              <w:t>Simultaneous deviations from gate target and ~0.150 SiN thickness cause extra loss.</w:t>
            </w:r>
          </w:p>
        </w:tc>
      </w:tr>
      <w:tr>
        <w:tc>
          <w:tcPr>
            <w:tcW w:type="dxa" w:w="2556"/>
            <w:vAlign w:val="center"/>
          </w:tcPr>
          <w:p>
            <w:r>
              <w:t>Rc × Rsh</w:t>
            </w:r>
          </w:p>
        </w:tc>
        <w:tc>
          <w:tcPr>
            <w:tcW w:type="dxa" w:w="2556"/>
            <w:vAlign w:val="center"/>
          </w:tcPr>
          <w:p>
            <w:r>
              <w:t>OHMIC_ET_Rc_an_ct2 + OHMIC_ET_Rsh_an_ct2</w:t>
            </w:r>
          </w:p>
        </w:tc>
        <w:tc>
          <w:tcPr>
            <w:tcW w:type="dxa" w:w="2556"/>
            <w:vAlign w:val="center"/>
          </w:tcPr>
          <w:p>
            <w:r>
              <w:t>2-factor interaction</w:t>
            </w:r>
          </w:p>
        </w:tc>
        <w:tc>
          <w:tcPr>
            <w:tcW w:type="dxa" w:w="2556"/>
            <w:vAlign w:val="center"/>
          </w:tcPr>
          <w:p>
            <w:r>
              <w:t>Strongest yield loss when both resistance metrics are high.</w:t>
            </w:r>
          </w:p>
        </w:tc>
      </w:tr>
      <w:tr>
        <w:tc>
          <w:tcPr>
            <w:tcW w:type="dxa" w:w="2556"/>
            <w:vAlign w:val="center"/>
          </w:tcPr>
          <w:p>
            <w:r>
              <w:t>Leakage threshold</w:t>
            </w:r>
          </w:p>
        </w:tc>
        <w:tc>
          <w:tcPr>
            <w:tcW w:type="dxa" w:w="2556"/>
            <w:vAlign w:val="center"/>
          </w:tcPr>
          <w:p>
            <w:r>
              <w:t>ET leakage family</w:t>
            </w:r>
          </w:p>
        </w:tc>
        <w:tc>
          <w:tcPr>
            <w:tcW w:type="dxa" w:w="2556"/>
            <w:vAlign w:val="center"/>
          </w:tcPr>
          <w:p>
            <w:r>
              <w:t>Threshold</w:t>
            </w:r>
          </w:p>
        </w:tc>
        <w:tc>
          <w:tcPr>
            <w:tcW w:type="dxa" w:w="2556"/>
            <w:vAlign w:val="center"/>
          </w:tcPr>
          <w:p>
            <w:r>
              <w:t>Moderate penalty above ~0.20 and an additional sharp penalty above ~0.35.</w:t>
            </w:r>
          </w:p>
        </w:tc>
      </w:tr>
      <w:tr>
        <w:tc>
          <w:tcPr>
            <w:tcW w:type="dxa" w:w="2556"/>
            <w:vAlign w:val="center"/>
          </w:tcPr>
          <w:p>
            <w:r>
              <w:t>Alignment process window</w:t>
            </w:r>
          </w:p>
        </w:tc>
        <w:tc>
          <w:tcPr>
            <w:tcW w:type="dxa" w:w="2556"/>
            <w:vAlign w:val="center"/>
          </w:tcPr>
          <w:p>
            <w:r>
              <w:t>GATE2_Ali_Litho_Gate_to_recess_alignment</w:t>
            </w:r>
          </w:p>
        </w:tc>
        <w:tc>
          <w:tcPr>
            <w:tcW w:type="dxa" w:w="2556"/>
            <w:vAlign w:val="center"/>
          </w:tcPr>
          <w:p>
            <w:r>
              <w:t>Absolute-value threshold</w:t>
            </w:r>
          </w:p>
        </w:tc>
        <w:tc>
          <w:tcPr>
            <w:tcW w:type="dxa" w:w="2556"/>
            <w:vAlign w:val="center"/>
          </w:tcPr>
          <w:p>
            <w:r>
              <w:t>Small effect inside approximately ±0.035; increasing loss outside the window.</w:t>
            </w:r>
          </w:p>
        </w:tc>
      </w:tr>
      <w:tr>
        <w:tc>
          <w:tcPr>
            <w:tcW w:type="dxa" w:w="2556"/>
            <w:vAlign w:val="center"/>
          </w:tcPr>
          <w:p>
            <w:r>
              <w:t>Gm stage degradation</w:t>
            </w:r>
          </w:p>
        </w:tc>
        <w:tc>
          <w:tcPr>
            <w:tcW w:type="dxa" w:w="2556"/>
            <w:vAlign w:val="center"/>
          </w:tcPr>
          <w:p>
            <w:r>
              <w:t>TOPSIN_ET_Gm_max - FIC_ET_Gm_max</w:t>
            </w:r>
          </w:p>
        </w:tc>
        <w:tc>
          <w:tcPr>
            <w:tcW w:type="dxa" w:w="2556"/>
            <w:vAlign w:val="center"/>
          </w:tcPr>
          <w:p>
            <w:r>
              <w:t>Derived delta</w:t>
            </w:r>
          </w:p>
        </w:tc>
        <w:tc>
          <w:tcPr>
            <w:tcW w:type="dxa" w:w="2556"/>
            <w:vAlign w:val="center"/>
          </w:tcPr>
          <w:p>
            <w:r>
              <w:t>Yield decreases when TOPSIN Gm degrades by more than roughly 18 relative to FIC.</w:t>
            </w:r>
          </w:p>
        </w:tc>
      </w:tr>
      <w:tr>
        <w:tc>
          <w:tcPr>
            <w:tcW w:type="dxa" w:w="2556"/>
            <w:vAlign w:val="center"/>
          </w:tcPr>
          <w:p>
            <w:r>
              <w:t>Rc × Drain Lag × low PAE</w:t>
            </w:r>
          </w:p>
        </w:tc>
        <w:tc>
          <w:tcPr>
            <w:tcW w:type="dxa" w:w="2556"/>
            <w:vAlign w:val="center"/>
          </w:tcPr>
          <w:p>
            <w:r>
              <w:t>Rc + Drain Lag + PAE</w:t>
            </w:r>
          </w:p>
        </w:tc>
        <w:tc>
          <w:tcPr>
            <w:tcW w:type="dxa" w:w="2556"/>
            <w:vAlign w:val="center"/>
          </w:tcPr>
          <w:p>
            <w:r>
              <w:t>3-factor interaction</w:t>
            </w:r>
          </w:p>
        </w:tc>
        <w:tc>
          <w:tcPr>
            <w:tcW w:type="dxa" w:w="2556"/>
            <w:vAlign w:val="center"/>
          </w:tcPr>
          <w:p>
            <w:r>
              <w:t>Extra penalty when Rc &gt; 0.255, Drain Lag &gt; 9.5, and PAE &lt; 55 occur together.</w:t>
            </w:r>
          </w:p>
        </w:tc>
      </w:tr>
    </w:tbl>
    <w:p/>
    <w:p>
      <w:pPr>
        <w:pStyle w:val="Heading1"/>
      </w:pPr>
      <w:r>
        <w:t>Graphical observations</w:t>
      </w:r>
    </w:p>
    <w:p>
      <w:r>
        <w:drawing>
          <wp:inline xmlns:a="http://schemas.openxmlformats.org/drawingml/2006/main" xmlns:pic="http://schemas.openxmlformats.org/drawingml/2006/picture">
            <wp:extent cx="6126480" cy="3784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e_vs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PAE is deliberately given a direct positive contribution to SortingYield.</w:t>
      </w:r>
    </w:p>
    <w:p>
      <w:r>
        <w:drawing>
          <wp:inline xmlns:a="http://schemas.openxmlformats.org/drawingml/2006/main" xmlns:pic="http://schemas.openxmlformats.org/drawingml/2006/picture">
            <wp:extent cx="6126480" cy="37840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cd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Gate CD is a process-window problem: deviation in either direction is harmful, so simple linear correlation can understate it.</w:t>
      </w:r>
    </w:p>
    <w:p>
      <w:r>
        <w:drawing>
          <wp:inline xmlns:a="http://schemas.openxmlformats.org/drawingml/2006/main" xmlns:pic="http://schemas.openxmlformats.org/drawingml/2006/picture">
            <wp:extent cx="6126480" cy="3784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in_lag_thresh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Drain Lag contains a threshold behavior around 7 rather than a purely linear response.</w:t>
      </w:r>
    </w:p>
    <w:p>
      <w:r>
        <w:drawing>
          <wp:inline xmlns:a="http://schemas.openxmlformats.org/drawingml/2006/main" xmlns:pic="http://schemas.openxmlformats.org/drawingml/2006/picture">
            <wp:extent cx="6126480" cy="3658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_rsh_inter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Rc and Rsh contain an interaction: the combined high/high region is intended to be more damaging than either variable alone.</w:t>
      </w:r>
    </w:p>
    <w:p>
      <w:r>
        <w:drawing>
          <wp:inline xmlns:a="http://schemas.openxmlformats.org/drawingml/2006/main" xmlns:pic="http://schemas.openxmlformats.org/drawingml/2006/picture">
            <wp:extent cx="6126480" cy="3784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The model should derive or approximate a stage-delta feature. Large negative TOPSIN Gm - FIC Gm is associated with poorer yield.</w:t>
      </w:r>
    </w:p>
    <w:p>
      <w:pPr>
        <w:pStyle w:val="Heading1"/>
      </w:pPr>
      <w:r>
        <w:t>How to use this report</w:t>
      </w:r>
    </w:p>
    <w:p>
      <w:r>
        <w:t>Use SortingYield as the primary Y response. Exclude Actual Sorting Yield (%), TotalYield, LineYield, BackEndYield, VIYield, and LTYield from the predictor set when testing discovery, because these are yield outputs and can create target leakage. The objective is not only to rank single-variable Pearson correlations; the AI should identify nonlinear process windows, thresholds, interactions, and derived changes between process stages.</w:t>
      </w:r>
    </w:p>
    <w:p>
      <w:r>
        <w:t>The numerical values are synthetic and intended for algorithm development. They are engineering-plausible training values, not production specifications or control limits for a specific pHEMT/MMIC process.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