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YieldMindX — Stage 1: Yield Prediction Engine</w:t>
      </w:r>
    </w:p>
    <w:p>
      <w:pPr>
        <w:jc w:val="center"/>
      </w:pPr>
      <w:r>
        <w:rPr>
          <w:i/>
          <w:sz w:val="26"/>
        </w:rPr>
        <w:t>Model Selection, Predictor Reduction, Validation, and Final Prediction Model</w:t>
        <w:br/>
        <w:t>(Revised: Original Raw-CSV Predictors Only — Engineered Features Excluded)</w:t>
      </w:r>
    </w:p>
    <w:p/>
    <w:p>
      <w:pPr>
        <w:pStyle w:val="Heading1"/>
      </w:pPr>
      <w:r>
        <w:rPr>
          <w:color w:val="1F4E79"/>
        </w:rPr>
        <w:t>1. Objective of Stage 1</w:t>
      </w:r>
    </w:p>
    <w:p>
      <w:r>
        <w:t>The goal of Stage 1 is narrow and specific: given the available inline/process/ET (electrical test) parameters recorded for a wafer, predict the final SortingYield as accurately and robustly as possible. This stage is concerned only with prediction accuracy, generalization, and model robustness.</w:t>
      </w:r>
    </w:p>
    <w:p>
      <w:r>
        <w:rPr>
          <w:b/>
        </w:rPr>
        <w:t>Revision note: as of this checkpoint, Stage 1 uses ONLY original predictors that existed in the raw CSV. All 307 engineered features created by this project (STAGE_RANGE_*, STAGE_STD_*, STAGE_DELTA_*) are completely excluded from the Stage 1 predictor-selection universe.</w:t>
      </w:r>
    </w:p>
    <w:p>
      <w:r>
        <w:t>Relationship discovery, Golden Routes, Worsen Routes, nonlinear/interaction discovery, cross-stage relationship characterization, and neural-network relationship modeling remain out of scope for this document and belong to Stage 2 — the Relationship Discovery Engine, which has not been started.</w:t>
      </w:r>
    </w:p>
    <w:p>
      <w:pPr>
        <w:pStyle w:val="Heading1"/>
      </w:pPr>
      <w:r>
        <w:rPr>
          <w:color w:val="1F4E79"/>
        </w:rPr>
        <w:t>2. Dataset Overview</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Value</w:t>
            </w:r>
          </w:p>
        </w:tc>
      </w:tr>
      <w:tr>
        <w:tc>
          <w:tcPr>
            <w:tcW w:type="dxa" w:w="4320"/>
          </w:tcPr>
          <w:p>
            <w:r>
              <w:t>Wafers / rows</w:t>
            </w:r>
          </w:p>
        </w:tc>
        <w:tc>
          <w:tcPr>
            <w:tcW w:type="dxa" w:w="4320"/>
          </w:tcPr>
          <w:p>
            <w:r>
              <w:t>1,500 (100 lots × 15 wafers)</w:t>
            </w:r>
          </w:p>
        </w:tc>
      </w:tr>
      <w:tr>
        <w:tc>
          <w:tcPr>
            <w:tcW w:type="dxa" w:w="4320"/>
          </w:tcPr>
          <w:p>
            <w:r>
              <w:t>Raw CSV columns</w:t>
            </w:r>
          </w:p>
        </w:tc>
        <w:tc>
          <w:tcPr>
            <w:tcW w:type="dxa" w:w="4320"/>
          </w:tcPr>
          <w:p>
            <w:r>
              <w:t>1,430</w:t>
            </w:r>
          </w:p>
        </w:tc>
      </w:tr>
      <w:tr>
        <w:tc>
          <w:tcPr>
            <w:tcW w:type="dxa" w:w="4320"/>
          </w:tcPr>
          <w:p>
            <w:r>
              <w:t>Target variable</w:t>
            </w:r>
          </w:p>
        </w:tc>
        <w:tc>
          <w:tcPr>
            <w:tcW w:type="dxa" w:w="4320"/>
          </w:tcPr>
          <w:p>
            <w:r>
              <w:t>SortingYield</w:t>
            </w:r>
          </w:p>
        </w:tc>
      </w:tr>
      <w:tr>
        <w:tc>
          <w:tcPr>
            <w:tcW w:type="dxa" w:w="4320"/>
          </w:tcPr>
          <w:p>
            <w:r>
              <w:t>Original numeric predictors</w:t>
            </w:r>
          </w:p>
        </w:tc>
        <w:tc>
          <w:tcPr>
            <w:tcW w:type="dxa" w:w="4320"/>
          </w:tcPr>
          <w:p>
            <w:r>
              <w:t>1,405</w:t>
            </w:r>
          </w:p>
        </w:tc>
      </w:tr>
      <w:tr>
        <w:tc>
          <w:tcPr>
            <w:tcW w:type="dxa" w:w="4320"/>
          </w:tcPr>
          <w:p>
            <w:r>
              <w:t>Categorical predictors</w:t>
            </w:r>
          </w:p>
        </w:tc>
        <w:tc>
          <w:tcPr>
            <w:tcW w:type="dxa" w:w="4320"/>
          </w:tcPr>
          <w:p>
            <w:r>
              <w:t>7 variables → 20 one-hot columns</w:t>
            </w:r>
          </w:p>
        </w:tc>
      </w:tr>
      <w:tr>
        <w:tc>
          <w:tcPr>
            <w:tcW w:type="dxa" w:w="4320"/>
          </w:tcPr>
          <w:p>
            <w:r>
              <w:t>Engineered predictors (project-created)</w:t>
            </w:r>
          </w:p>
        </w:tc>
        <w:tc>
          <w:tcPr>
            <w:tcW w:type="dxa" w:w="4320"/>
          </w:tcPr>
          <w:p>
            <w:r>
              <w:t>307 — EXCLUDED from Stage 1</w:t>
            </w:r>
          </w:p>
        </w:tc>
      </w:tr>
      <w:tr>
        <w:tc>
          <w:tcPr>
            <w:tcW w:type="dxa" w:w="4320"/>
          </w:tcPr>
          <w:p>
            <w:r>
              <w:t>Excluded — leakage columns</w:t>
            </w:r>
          </w:p>
        </w:tc>
        <w:tc>
          <w:tcPr>
            <w:tcW w:type="dxa" w:w="4320"/>
          </w:tcPr>
          <w:p>
            <w:r>
              <w:t>7</w:t>
            </w:r>
          </w:p>
        </w:tc>
      </w:tr>
      <w:tr>
        <w:tc>
          <w:tcPr>
            <w:tcW w:type="dxa" w:w="4320"/>
          </w:tcPr>
          <w:p>
            <w:r>
              <w:t>Excluded — metadata / ID / date columns</w:t>
            </w:r>
          </w:p>
        </w:tc>
        <w:tc>
          <w:tcPr>
            <w:tcW w:type="dxa" w:w="4320"/>
          </w:tcPr>
          <w:p>
            <w:r>
              <w:t>9</w:t>
            </w:r>
          </w:p>
        </w:tc>
      </w:tr>
      <w:tr>
        <w:tc>
          <w:tcPr>
            <w:tcW w:type="dxa" w:w="4320"/>
          </w:tcPr>
          <w:p>
            <w:r>
              <w:t>Excluded — duplicate columns</w:t>
            </w:r>
          </w:p>
        </w:tc>
        <w:tc>
          <w:tcPr>
            <w:tcW w:type="dxa" w:w="4320"/>
          </w:tcPr>
          <w:p>
            <w:r>
              <w:t>1</w:t>
            </w:r>
          </w:p>
        </w:tc>
      </w:tr>
    </w:tbl>
    <w:p/>
    <w:p>
      <w:r>
        <w:t>A predictor being ALLOWED (i.e. an original raw-CSV column that is leakage-screened and not a duplicate) does not automatically mean it is NECESSARY for the prediction model. Sections 5–9 test that distinction empirically, using only original predictors, rather than assuming all 1,425 allowed original predictors are required.</w:t>
      </w:r>
    </w:p>
    <w:p>
      <w:pPr>
        <w:pStyle w:val="Heading1"/>
      </w:pPr>
      <w:r>
        <w:rPr>
          <w:color w:val="1F4E79"/>
        </w:rPr>
        <w:t>3. Data Leakage Protection</w:t>
      </w:r>
    </w:p>
    <w:p>
      <w:r>
        <w:t>Data leakage occurs when a predictor contains information that would not actually be available at prediction time, or that is itself derived from the outcome being predicted. Seven columns were identified as leakage and excluded: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Excluded column</w:t>
            </w:r>
          </w:p>
        </w:tc>
        <w:tc>
          <w:tcPr>
            <w:tcW w:type="dxa" w:w="4320"/>
          </w:tcPr>
          <w:p>
            <w:r>
              <w:rPr>
                <w:b/>
              </w:rPr>
              <w:t>Reason</w:t>
            </w:r>
          </w:p>
        </w:tc>
      </w:tr>
      <w:tr>
        <w:tc>
          <w:tcPr>
            <w:tcW w:type="dxa" w:w="4320"/>
          </w:tcPr>
          <w:p>
            <w:r>
              <w:t>Actual Sorting Yield (%)</w:t>
            </w:r>
          </w:p>
        </w:tc>
        <w:tc>
          <w:tcPr>
            <w:tcW w:type="dxa" w:w="4320"/>
          </w:tcPr>
          <w:p>
            <w:r>
              <w:t>Near-duplicate of the target (r=0.99 with SortingYield)</w:t>
            </w:r>
          </w:p>
        </w:tc>
      </w:tr>
      <w:tr>
        <w:tc>
          <w:tcPr>
            <w:tcW w:type="dxa" w:w="4320"/>
          </w:tcPr>
          <w:p>
            <w:r>
              <w:t>LineYield</w:t>
            </w:r>
          </w:p>
        </w:tc>
        <w:tc>
          <w:tcPr>
            <w:tcW w:type="dxa" w:w="4320"/>
          </w:tcPr>
          <w:p>
            <w:r>
              <w:t>Separate downstream yield-stage output</w:t>
            </w:r>
          </w:p>
        </w:tc>
      </w:tr>
      <w:tr>
        <w:tc>
          <w:tcPr>
            <w:tcW w:type="dxa" w:w="4320"/>
          </w:tcPr>
          <w:p>
            <w:r>
              <w:t>BackEndYield</w:t>
            </w:r>
          </w:p>
        </w:tc>
        <w:tc>
          <w:tcPr>
            <w:tcW w:type="dxa" w:w="4320"/>
          </w:tcPr>
          <w:p>
            <w:r>
              <w:t>Separate downstream yield-stage output</w:t>
            </w:r>
          </w:p>
        </w:tc>
      </w:tr>
      <w:tr>
        <w:tc>
          <w:tcPr>
            <w:tcW w:type="dxa" w:w="4320"/>
          </w:tcPr>
          <w:p>
            <w:r>
              <w:t>VIYield</w:t>
            </w:r>
          </w:p>
        </w:tc>
        <w:tc>
          <w:tcPr>
            <w:tcW w:type="dxa" w:w="4320"/>
          </w:tcPr>
          <w:p>
            <w:r>
              <w:t>Separate downstream yield-stage output</w:t>
            </w:r>
          </w:p>
        </w:tc>
      </w:tr>
      <w:tr>
        <w:tc>
          <w:tcPr>
            <w:tcW w:type="dxa" w:w="4320"/>
          </w:tcPr>
          <w:p>
            <w:r>
              <w:t>LTYield</w:t>
            </w:r>
          </w:p>
        </w:tc>
        <w:tc>
          <w:tcPr>
            <w:tcW w:type="dxa" w:w="4320"/>
          </w:tcPr>
          <w:p>
            <w:r>
              <w:t>Separate downstream yield-stage output</w:t>
            </w:r>
          </w:p>
        </w:tc>
      </w:tr>
      <w:tr>
        <w:tc>
          <w:tcPr>
            <w:tcW w:type="dxa" w:w="4320"/>
          </w:tcPr>
          <w:p>
            <w:r>
              <w:t>TotalYield</w:t>
            </w:r>
          </w:p>
        </w:tc>
        <w:tc>
          <w:tcPr>
            <w:tcW w:type="dxa" w:w="4320"/>
          </w:tcPr>
          <w:p>
            <w:r>
              <w:t>Yield rollup metric that includes the target (r=0.92)</w:t>
            </w:r>
          </w:p>
        </w:tc>
      </w:tr>
      <w:tr>
        <w:tc>
          <w:tcPr>
            <w:tcW w:type="dxa" w:w="4320"/>
          </w:tcPr>
          <w:p>
            <w:r>
              <w:t>EstimatedSupplyChipsCount</w:t>
            </w:r>
          </w:p>
        </w:tc>
        <w:tc>
          <w:tcPr>
            <w:tcW w:type="dxa" w:w="4320"/>
          </w:tcPr>
          <w:p>
            <w:r>
              <w:t>Derived from actual yield outcome — its ratio to MaskSetSupplyChipsCount correlates r=0.92 with the target</w:t>
            </w:r>
          </w:p>
        </w:tc>
      </w:tr>
    </w:tbl>
    <w:p/>
    <w:p>
      <w:r>
        <w:t>MaskSetName_group was found to be an exact duplicate of MaskSetName (verified by cross-tabulation) and was removed as redundant. The target column, SortingYield, was never included in the predictor matrix at any stage.</w:t>
      </w:r>
    </w:p>
    <w:p>
      <w:pPr>
        <w:pStyle w:val="Heading1"/>
      </w:pPr>
      <w:r>
        <w:rPr>
          <w:color w:val="1F4E79"/>
        </w:rPr>
        <w:t>4. Stage 1 Predictor Universe: Original Raw-CSV Predictors Only</w:t>
      </w:r>
    </w:p>
    <w:p>
      <w:r>
        <w:t>Stage 1 excludes all 307 engineered features. No feature with the prefixes STAGE_DELTA, STAGE_RANGE, STAGE_STD, or any other feature generated by src/features/engineered.py, is permitted to enter the Stage 1 predictor matrix at any stage — feature-set-universe construction, ranking, ablation, or final model fitting.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Count</w:t>
            </w:r>
          </w:p>
        </w:tc>
      </w:tr>
      <w:tr>
        <w:tc>
          <w:tcPr>
            <w:tcW w:type="dxa" w:w="4320"/>
          </w:tcPr>
          <w:p>
            <w:r>
              <w:t>Original raw numeric predictors</w:t>
            </w:r>
          </w:p>
        </w:tc>
        <w:tc>
          <w:tcPr>
            <w:tcW w:type="dxa" w:w="4320"/>
          </w:tcPr>
          <w:p>
            <w:r>
              <w:t>1,405</w:t>
            </w:r>
          </w:p>
        </w:tc>
      </w:tr>
      <w:tr>
        <w:tc>
          <w:tcPr>
            <w:tcW w:type="dxa" w:w="4320"/>
          </w:tcPr>
          <w:p>
            <w:r>
              <w:t>One-hot encoded categorical predictors</w:t>
            </w:r>
          </w:p>
        </w:tc>
        <w:tc>
          <w:tcPr>
            <w:tcW w:type="dxa" w:w="4320"/>
          </w:tcPr>
          <w:p>
            <w:r>
              <w:t>20</w:t>
            </w:r>
          </w:p>
        </w:tc>
      </w:tr>
      <w:tr>
        <w:tc>
          <w:tcPr>
            <w:tcW w:type="dxa" w:w="4320"/>
          </w:tcPr>
          <w:p>
            <w:r>
              <w:t>Total Stage 1 original safe predictor universe</w:t>
            </w:r>
          </w:p>
        </w:tc>
        <w:tc>
          <w:tcPr>
            <w:tcW w:type="dxa" w:w="4320"/>
          </w:tcPr>
          <w:p>
            <w:r>
              <w:t>1,425</w:t>
            </w:r>
          </w:p>
        </w:tc>
      </w:tr>
      <w:tr>
        <w:tc>
          <w:tcPr>
            <w:tcW w:type="dxa" w:w="4320"/>
          </w:tcPr>
          <w:p>
            <w:r>
              <w:t>Engineered predictors (excluded)</w:t>
            </w:r>
          </w:p>
        </w:tc>
        <w:tc>
          <w:tcPr>
            <w:tcW w:type="dxa" w:w="4320"/>
          </w:tcPr>
          <w:p>
            <w:r>
              <w:t>307</w:t>
            </w:r>
          </w:p>
        </w:tc>
      </w:tr>
    </w:tbl>
    <w:p/>
    <w:p>
      <w:r>
        <w:rPr>
          <w:i/>
        </w:rPr>
        <w:t>A hard programmatic assertion (src/models/stage1_universe.py) enforces this exclusion: any code path that would allow an engineered feature into the Stage 1 predictor list raises an error immediately. This was verified with both a positive check (the real Stage 1 predictor list passes) and a negative-control check (deliberately injecting one engineered feature into the list correctly triggers the assertion).</w:t>
      </w:r>
    </w:p>
    <w:p>
      <w:pPr>
        <w:pStyle w:val="Heading1"/>
      </w:pPr>
      <w:r>
        <w:rPr>
          <w:color w:val="1F4E79"/>
        </w:rPr>
        <w:t>5. Why Predictor Reduction Was Still Necessary</w:t>
      </w:r>
    </w:p>
    <w:p>
      <w:r>
        <w:t>Even restricted to the 1,425 original predictors, the same high-dimensionality concerns apply relative to the ~100 independent lots available:</w:t>
      </w:r>
    </w:p>
    <w:p>
      <w:pPr>
        <w:pStyle w:val="ListBullet"/>
      </w:pPr>
      <w:r>
        <w:t>High dimensionality relative to sample size increases variance and overfitting risk, particularly for linear models.</w:t>
      </w:r>
    </w:p>
    <w:p>
      <w:pPr>
        <w:pStyle w:val="ListBullet"/>
      </w:pPr>
      <w:r>
        <w:t>Many original predictors are highly correlated / redundant (e.g. dozens of near-duplicate leakage-current measurements).</w:t>
      </w:r>
    </w:p>
    <w:p>
      <w:pPr>
        <w:pStyle w:val="ListBullet"/>
      </w:pPr>
      <w:r>
        <w:t>Larger predictor sets increase model complexity, training time, and computational cost without a guaranteed accuracy benefit.</w:t>
      </w:r>
    </w:p>
    <w:p>
      <w:pPr>
        <w:pStyle w:val="ListBullet"/>
      </w:pPr>
      <w:r>
        <w:t>A smaller, well-justified predictor set is easier to maintain, audit, and explain to engineers.</w:t>
      </w:r>
    </w:p>
    <w:p>
      <w:pPr>
        <w:pStyle w:val="ListBullet"/>
      </w:pPr>
      <w:r>
        <w:t>Interpretability degrades as predictor count grows.</w:t>
      </w:r>
    </w:p>
    <w:p>
      <w:r>
        <w:t>As before, predictors were NOT removed simply because their Pearson correlation with SortingYield was low — an original process predictor may still carry real importance through a nonlinear response, a threshold effect, or an interaction with another predictor. Predictor reduction was therefore performed using the same leakage-safe, model-based (SHAP) ranking methodology as before, re-run from scratch on the original-predictors-only universe.</w:t>
      </w:r>
    </w:p>
    <w:p>
      <w:pPr>
        <w:pStyle w:val="Heading1"/>
      </w:pPr>
      <w:r>
        <w:rPr>
          <w:color w:val="1F4E79"/>
        </w:rPr>
        <w:t>6. Leakage-Safe Feature Ranking Methodology (Re-run, Original Predictors Only)</w:t>
      </w:r>
    </w:p>
    <w:p>
      <w:pPr>
        <w:pStyle w:val="ListBullet"/>
      </w:pPr>
      <w:r>
        <w:t>The 100 lots were split once into an 80-lot development/training portion and a 20-lot untouched final holdout, grouped by LotName.</w:t>
      </w:r>
    </w:p>
    <w:p>
      <w:pPr>
        <w:pStyle w:val="ListBullet"/>
      </w:pPr>
      <w:r>
        <w:t>Within the 80-lot training portion, a GroupKFold(5) split (grouped by LotName) created five training/validation folds.</w:t>
      </w:r>
    </w:p>
    <w:p>
      <w:pPr>
        <w:pStyle w:val="ListBullet"/>
      </w:pPr>
      <w:r>
        <w:t>For each fold, a model was fit on that fold's training rows using ONLY the 1,425 original predictors (no engineered feature ever present in the fitting matrix), and SHAP importance was computed strictly on that fold's held-out validation rows.</w:t>
      </w:r>
    </w:p>
    <w:p>
      <w:pPr>
        <w:pStyle w:val="ListBullet"/>
      </w:pPr>
      <w:r>
        <w:t>The five out-of-fold importance vectors were averaged to produce the final ranking.</w:t>
      </w:r>
    </w:p>
    <w:p>
      <w:pPr>
        <w:pStyle w:val="ListBullet"/>
      </w:pPr>
      <w:r>
        <w:t>The 20-lot final holdout was never touched by this ranking process.</w:t>
      </w:r>
    </w:p>
    <w:p>
      <w:r>
        <w:t>Because the ranking model itself never sees an engineered feature during fitting, engineered features cannot influence the resulting predictor ranking in any way, directly or indirectly.</w:t>
      </w:r>
    </w:p>
    <w:p>
      <w:pPr>
        <w:pStyle w:val="Heading1"/>
      </w:pPr>
      <w:r>
        <w:rPr>
          <w:color w:val="1F4E79"/>
        </w:rPr>
        <w:t>7. Feature-Set Ablation Experiment (Original Predictors Only)</w:t>
      </w:r>
    </w:p>
    <w:p>
      <w:r>
        <w:t>Using the re-run ranking above, a cumulative-importance curve over the 987 numeric correlation-clusters was used to define data-driven predictor-set tiers. Each tier was evaluated with the same grouped 5-fold cross-validation and the same untouched 20-lot holdout, for ElasticNet and LightGBM. All figures are from this checkpoint's corrected, original-predictors-only implementation.</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Tier</w:t>
            </w:r>
          </w:p>
        </w:tc>
        <w:tc>
          <w:tcPr>
            <w:tcW w:type="dxa" w:w="1080"/>
          </w:tcPr>
          <w:p>
            <w:r>
              <w:rPr>
                <w:b/>
              </w:rPr>
              <w:t>Predictors</w:t>
            </w:r>
          </w:p>
        </w:tc>
        <w:tc>
          <w:tcPr>
            <w:tcW w:type="dxa" w:w="1080"/>
          </w:tcPr>
          <w:p>
            <w:r>
              <w:rPr>
                <w:b/>
              </w:rPr>
              <w:t>EN CV RMSE</w:t>
            </w:r>
          </w:p>
        </w:tc>
        <w:tc>
          <w:tcPr>
            <w:tcW w:type="dxa" w:w="1080"/>
          </w:tcPr>
          <w:p>
            <w:r>
              <w:rPr>
                <w:b/>
              </w:rPr>
              <w:t>EN Holdout RMSE</w:t>
            </w:r>
          </w:p>
        </w:tc>
        <w:tc>
          <w:tcPr>
            <w:tcW w:type="dxa" w:w="1080"/>
          </w:tcPr>
          <w:p>
            <w:r>
              <w:rPr>
                <w:b/>
              </w:rPr>
              <w:t>EN Holdout R²</w:t>
            </w:r>
          </w:p>
        </w:tc>
        <w:tc>
          <w:tcPr>
            <w:tcW w:type="dxa" w:w="1080"/>
          </w:tcPr>
          <w:p>
            <w:r>
              <w:rPr>
                <w:b/>
              </w:rPr>
              <w:t>LGBM CV RMSE</w:t>
            </w:r>
          </w:p>
        </w:tc>
        <w:tc>
          <w:tcPr>
            <w:tcW w:type="dxa" w:w="1080"/>
          </w:tcPr>
          <w:p>
            <w:r>
              <w:rPr>
                <w:b/>
              </w:rPr>
              <w:t>LGBM Holdout RMSE</w:t>
            </w:r>
          </w:p>
        </w:tc>
        <w:tc>
          <w:tcPr>
            <w:tcW w:type="dxa" w:w="1080"/>
          </w:tcPr>
          <w:p>
            <w:r>
              <w:rPr>
                <w:b/>
              </w:rPr>
              <w:t>LGBM Holdout R²</w:t>
            </w:r>
          </w:p>
        </w:tc>
      </w:tr>
      <w:tr>
        <w:tc>
          <w:tcPr>
            <w:tcW w:type="dxa" w:w="1080"/>
          </w:tcPr>
          <w:p>
            <w:r>
              <w:t>Full original set</w:t>
            </w:r>
          </w:p>
        </w:tc>
        <w:tc>
          <w:tcPr>
            <w:tcW w:type="dxa" w:w="1080"/>
          </w:tcPr>
          <w:p>
            <w:r>
              <w:t>1,425</w:t>
            </w:r>
          </w:p>
        </w:tc>
        <w:tc>
          <w:tcPr>
            <w:tcW w:type="dxa" w:w="1080"/>
          </w:tcPr>
          <w:p>
            <w:r>
              <w:t>0.1459</w:t>
            </w:r>
          </w:p>
        </w:tc>
        <w:tc>
          <w:tcPr>
            <w:tcW w:type="dxa" w:w="1080"/>
          </w:tcPr>
          <w:p>
            <w:r>
              <w:t>0.1278</w:t>
            </w:r>
          </w:p>
        </w:tc>
        <w:tc>
          <w:tcPr>
            <w:tcW w:type="dxa" w:w="1080"/>
          </w:tcPr>
          <w:p>
            <w:r>
              <w:t>0.9968</w:t>
            </w:r>
          </w:p>
        </w:tc>
        <w:tc>
          <w:tcPr>
            <w:tcW w:type="dxa" w:w="1080"/>
          </w:tcPr>
          <w:p>
            <w:r>
              <w:t>0.2240</w:t>
            </w:r>
          </w:p>
        </w:tc>
        <w:tc>
          <w:tcPr>
            <w:tcW w:type="dxa" w:w="1080"/>
          </w:tcPr>
          <w:p>
            <w:r>
              <w:t>0.1526</w:t>
            </w:r>
          </w:p>
        </w:tc>
        <w:tc>
          <w:tcPr>
            <w:tcW w:type="dxa" w:w="1080"/>
          </w:tcPr>
          <w:p>
            <w:r>
              <w:t>0.9954</w:t>
            </w:r>
          </w:p>
        </w:tc>
      </w:tr>
      <w:tr>
        <w:tc>
          <w:tcPr>
            <w:tcW w:type="dxa" w:w="1080"/>
          </w:tcPr>
          <w:p>
            <w:r>
              <w:t>Moderate reduction</w:t>
            </w:r>
          </w:p>
        </w:tc>
        <w:tc>
          <w:tcPr>
            <w:tcW w:type="dxa" w:w="1080"/>
          </w:tcPr>
          <w:p>
            <w:r>
              <w:t>283</w:t>
            </w:r>
          </w:p>
        </w:tc>
        <w:tc>
          <w:tcPr>
            <w:tcW w:type="dxa" w:w="1080"/>
          </w:tcPr>
          <w:p>
            <w:r>
              <w:t>0.1887</w:t>
            </w:r>
          </w:p>
        </w:tc>
        <w:tc>
          <w:tcPr>
            <w:tcW w:type="dxa" w:w="1080"/>
          </w:tcPr>
          <w:p>
            <w:r>
              <w:t>0.1699</w:t>
            </w:r>
          </w:p>
        </w:tc>
        <w:tc>
          <w:tcPr>
            <w:tcW w:type="dxa" w:w="1080"/>
          </w:tcPr>
          <w:p>
            <w:r>
              <w:t>0.9943</w:t>
            </w:r>
          </w:p>
        </w:tc>
        <w:tc>
          <w:tcPr>
            <w:tcW w:type="dxa" w:w="1080"/>
          </w:tcPr>
          <w:p>
            <w:r>
              <w:t>0.2199</w:t>
            </w:r>
          </w:p>
        </w:tc>
        <w:tc>
          <w:tcPr>
            <w:tcW w:type="dxa" w:w="1080"/>
          </w:tcPr>
          <w:p>
            <w:r>
              <w:t>0.1779</w:t>
            </w:r>
          </w:p>
        </w:tc>
        <w:tc>
          <w:tcPr>
            <w:tcW w:type="dxa" w:w="1080"/>
          </w:tcPr>
          <w:p>
            <w:r>
              <w:t>0.9937</w:t>
            </w:r>
          </w:p>
        </w:tc>
      </w:tr>
      <w:tr>
        <w:tc>
          <w:tcPr>
            <w:tcW w:type="dxa" w:w="1080"/>
          </w:tcPr>
          <w:p>
            <w:r>
              <w:t>Aggressive reduction</w:t>
            </w:r>
          </w:p>
        </w:tc>
        <w:tc>
          <w:tcPr>
            <w:tcW w:type="dxa" w:w="1080"/>
          </w:tcPr>
          <w:p>
            <w:r>
              <w:t>144</w:t>
            </w:r>
          </w:p>
        </w:tc>
        <w:tc>
          <w:tcPr>
            <w:tcW w:type="dxa" w:w="1080"/>
          </w:tcPr>
          <w:p>
            <w:r>
              <w:t>0.4776</w:t>
            </w:r>
          </w:p>
        </w:tc>
        <w:tc>
          <w:tcPr>
            <w:tcW w:type="dxa" w:w="1080"/>
          </w:tcPr>
          <w:p>
            <w:r>
              <w:t>0.4352</w:t>
            </w:r>
          </w:p>
        </w:tc>
        <w:tc>
          <w:tcPr>
            <w:tcW w:type="dxa" w:w="1080"/>
          </w:tcPr>
          <w:p>
            <w:r>
              <w:t>0.9624</w:t>
            </w:r>
          </w:p>
        </w:tc>
        <w:tc>
          <w:tcPr>
            <w:tcW w:type="dxa" w:w="1080"/>
          </w:tcPr>
          <w:p>
            <w:r>
              <w:t>0.2357</w:t>
            </w:r>
          </w:p>
        </w:tc>
        <w:tc>
          <w:tcPr>
            <w:tcW w:type="dxa" w:w="1080"/>
          </w:tcPr>
          <w:p>
            <w:r>
              <w:t>0.1994</w:t>
            </w:r>
          </w:p>
        </w:tc>
        <w:tc>
          <w:tcPr>
            <w:tcW w:type="dxa" w:w="1080"/>
          </w:tcPr>
          <w:p>
            <w:r>
              <w:t>0.9921</w:t>
            </w:r>
          </w:p>
        </w:tc>
      </w:tr>
      <w:tr>
        <w:tc>
          <w:tcPr>
            <w:tcW w:type="dxa" w:w="1080"/>
          </w:tcPr>
          <w:p>
            <w:r>
              <w:t>Compact reduction</w:t>
            </w:r>
          </w:p>
        </w:tc>
        <w:tc>
          <w:tcPr>
            <w:tcW w:type="dxa" w:w="1080"/>
          </w:tcPr>
          <w:p>
            <w:r>
              <w:t>73</w:t>
            </w:r>
          </w:p>
        </w:tc>
        <w:tc>
          <w:tcPr>
            <w:tcW w:type="dxa" w:w="1080"/>
          </w:tcPr>
          <w:p>
            <w:r>
              <w:t>1.0911</w:t>
            </w:r>
          </w:p>
        </w:tc>
        <w:tc>
          <w:tcPr>
            <w:tcW w:type="dxa" w:w="1080"/>
          </w:tcPr>
          <w:p>
            <w:r>
              <w:t>1.0486</w:t>
            </w:r>
          </w:p>
        </w:tc>
        <w:tc>
          <w:tcPr>
            <w:tcW w:type="dxa" w:w="1080"/>
          </w:tcPr>
          <w:p>
            <w:r>
              <w:t>0.7820</w:t>
            </w:r>
          </w:p>
        </w:tc>
        <w:tc>
          <w:tcPr>
            <w:tcW w:type="dxa" w:w="1080"/>
          </w:tcPr>
          <w:p>
            <w:r>
              <w:t>0.2329</w:t>
            </w:r>
          </w:p>
        </w:tc>
        <w:tc>
          <w:tcPr>
            <w:tcW w:type="dxa" w:w="1080"/>
          </w:tcPr>
          <w:p>
            <w:r>
              <w:t>0.1826</w:t>
            </w:r>
          </w:p>
        </w:tc>
        <w:tc>
          <w:tcPr>
            <w:tcW w:type="dxa" w:w="1080"/>
          </w:tcPr>
          <w:p>
            <w:r>
              <w:t>0.9934</w:t>
            </w:r>
          </w:p>
        </w:tc>
      </w:tr>
      <w:tr>
        <w:tc>
          <w:tcPr>
            <w:tcW w:type="dxa" w:w="1080"/>
          </w:tcPr>
          <w:p>
            <w:r>
              <w:t>Extreme reduction (diagnostic)</w:t>
            </w:r>
          </w:p>
        </w:tc>
        <w:tc>
          <w:tcPr>
            <w:tcW w:type="dxa" w:w="1080"/>
          </w:tcPr>
          <w:p>
            <w:r>
              <w:t>30</w:t>
            </w:r>
          </w:p>
        </w:tc>
        <w:tc>
          <w:tcPr>
            <w:tcW w:type="dxa" w:w="1080"/>
          </w:tcPr>
          <w:p>
            <w:r>
              <w:t>1.6072</w:t>
            </w:r>
          </w:p>
        </w:tc>
        <w:tc>
          <w:tcPr>
            <w:tcW w:type="dxa" w:w="1080"/>
          </w:tcPr>
          <w:p>
            <w:r>
              <w:t>1.6142</w:t>
            </w:r>
          </w:p>
        </w:tc>
        <w:tc>
          <w:tcPr>
            <w:tcW w:type="dxa" w:w="1080"/>
          </w:tcPr>
          <w:p>
            <w:r>
              <w:t>0.4834</w:t>
            </w:r>
          </w:p>
        </w:tc>
        <w:tc>
          <w:tcPr>
            <w:tcW w:type="dxa" w:w="1080"/>
          </w:tcPr>
          <w:p>
            <w:r>
              <w:t>0.2804</w:t>
            </w:r>
          </w:p>
        </w:tc>
        <w:tc>
          <w:tcPr>
            <w:tcW w:type="dxa" w:w="1080"/>
          </w:tcPr>
          <w:p>
            <w:r>
              <w:t>0.2546</w:t>
            </w:r>
          </w:p>
        </w:tc>
        <w:tc>
          <w:tcPr>
            <w:tcW w:type="dxa" w:w="1080"/>
          </w:tcPr>
          <w:p>
            <w:r>
              <w:t>0.9871</w:t>
            </w:r>
          </w:p>
        </w:tc>
      </w:tr>
    </w:tbl>
    <w:p/>
    <w:p>
      <w:r>
        <w:t>The pattern observed previously (with engineered features included) reproduces cleanly on the original-predictors-only universe: LightGBM remains remarkably stable across the entire range — holdout R² stays at or above 0.987 even at 30 predictors, a 98% reduction from the full set. ElasticNet degrades gracefully down to 283 predictors but collapses sharply below that — holdout RMSE more than doubles at 144 predictors and becomes unusable at 73 and 30.</w:t>
      </w:r>
    </w:p>
    <w:p>
      <w:pPr>
        <w:pStyle w:val="Heading1"/>
      </w:pPr>
      <w:r>
        <w:rPr>
          <w:color w:val="1F4E79"/>
        </w:rPr>
        <w:t>8. Final Common Predictor Set (Original Predictors Only)</w:t>
      </w:r>
    </w:p>
    <w:p>
      <w:r>
        <w:t>Based on the ablation results in Section 7, 283 original predictors were selected as the common set for the fair model-comparison benchmark:</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Count</w:t>
            </w:r>
          </w:p>
        </w:tc>
      </w:tr>
      <w:tr>
        <w:tc>
          <w:tcPr>
            <w:tcW w:type="dxa" w:w="4320"/>
          </w:tcPr>
          <w:p>
            <w:r>
              <w:t>Data-driven-ranked numeric-cluster units (90% cumulative importance)</w:t>
            </w:r>
          </w:p>
        </w:tc>
        <w:tc>
          <w:tcPr>
            <w:tcW w:type="dxa" w:w="4320"/>
          </w:tcPr>
          <w:p>
            <w:r>
              <w:t>263</w:t>
            </w:r>
          </w:p>
        </w:tc>
      </w:tr>
      <w:tr>
        <w:tc>
          <w:tcPr>
            <w:tcW w:type="dxa" w:w="4320"/>
          </w:tcPr>
          <w:p>
            <w:r>
              <w:t>Categorical predictors (one-hot dummies)</w:t>
            </w:r>
          </w:p>
        </w:tc>
        <w:tc>
          <w:tcPr>
            <w:tcW w:type="dxa" w:w="4320"/>
          </w:tcPr>
          <w:p>
            <w:r>
              <w:t>20</w:t>
            </w:r>
          </w:p>
        </w:tc>
      </w:tr>
      <w:tr>
        <w:tc>
          <w:tcPr>
            <w:tcW w:type="dxa" w:w="4320"/>
          </w:tcPr>
          <w:p>
            <w:r>
              <w:t>Total final common predictor set</w:t>
            </w:r>
          </w:p>
        </w:tc>
        <w:tc>
          <w:tcPr>
            <w:tcW w:type="dxa" w:w="4320"/>
          </w:tcPr>
          <w:p>
            <w:r>
              <w:t>283</w:t>
            </w:r>
          </w:p>
        </w:tc>
      </w:tr>
    </w:tbl>
    <w:p/>
    <w:p>
      <w:r>
        <w:t>This size was chosen because it is:</w:t>
      </w:r>
    </w:p>
    <w:p>
      <w:pPr>
        <w:pStyle w:val="ListBullet"/>
      </w:pPr>
      <w:r>
        <w:t>Large enough not to cripple ElasticNet — it stays near its ceiling accuracy at 283 predictors but collapses well before 144.</w:t>
      </w:r>
    </w:p>
    <w:p>
      <w:pPr>
        <w:pStyle w:val="ListBullet"/>
      </w:pPr>
      <w:r>
        <w:t>A substantial reduction from the full 1,425 original predictors (5.0x reduction) while retaining 90% of the leakage-safe cumulative importance.</w:t>
      </w:r>
    </w:p>
    <w:p>
      <w:pPr>
        <w:pStyle w:val="ListBullet"/>
      </w:pPr>
      <w:r>
        <w:t>Not required by LightGBM, which remained robust under much stronger reduction — but a common set must work for every model being compared.</w:t>
      </w:r>
    </w:p>
    <w:p>
      <w:pPr>
        <w:pStyle w:val="ListBullet"/>
      </w:pPr>
      <w:r>
        <w:t>Built entirely from original raw-CSV predictors, with zero engineered features present at any point in its construction.</w:t>
      </w:r>
    </w:p>
    <w:p>
      <w:r>
        <w:rPr>
          <w:b/>
          <w:color w:val="C00000"/>
        </w:rPr>
        <w:t>This 283-feature set applies ONLY to the Yield Prediction Engine. It must NOT restrict the future Relationship Discovery Engine — see Section 17.</w:t>
      </w:r>
    </w:p>
    <w:p/>
    <w:p>
      <w:pPr>
        <w:pStyle w:val="Heading1"/>
      </w:pPr>
      <w:r>
        <w:rPr>
          <w:color w:val="1F4E79"/>
        </w:rPr>
        <w:t>9. Fair Machine-Learning Model Comparison</w:t>
      </w:r>
    </w:p>
    <w:p>
      <w:r>
        <w:t>Three models were compared: ElasticNet (a regularized linear model, the interpretable baseline), Random Forest, and LightGBM. In the fair benchmark, every model received exactly the same 283 original predictors, the same rows, the same grouped 5-fold cross-validation splits, and the same untouched 20-lot holdout.</w:t>
      </w:r>
    </w:p>
    <w:p>
      <w:pPr>
        <w:pStyle w:val="Heading1"/>
      </w:pPr>
      <w:r>
        <w:rPr>
          <w:color w:val="1F4E79"/>
        </w:rPr>
        <w:t>10. Model Metrics Table (283-Feature Original-Predictor Common Set)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ElasticNet</w:t>
            </w:r>
          </w:p>
        </w:tc>
        <w:tc>
          <w:tcPr>
            <w:tcW w:type="dxa" w:w="2160"/>
          </w:tcPr>
          <w:p>
            <w:r>
              <w:rPr>
                <w:b/>
              </w:rPr>
              <w:t>Random Forest</w:t>
            </w:r>
          </w:p>
        </w:tc>
        <w:tc>
          <w:tcPr>
            <w:tcW w:type="dxa" w:w="2160"/>
          </w:tcPr>
          <w:p>
            <w:r>
              <w:rPr>
                <w:b/>
              </w:rPr>
              <w:t>LightGBM</w:t>
            </w:r>
          </w:p>
        </w:tc>
      </w:tr>
      <w:tr>
        <w:tc>
          <w:tcPr>
            <w:tcW w:type="dxa" w:w="2160"/>
          </w:tcPr>
          <w:p>
            <w:r>
              <w:t>Number of predictors</w:t>
            </w:r>
          </w:p>
        </w:tc>
        <w:tc>
          <w:tcPr>
            <w:tcW w:type="dxa" w:w="2160"/>
          </w:tcPr>
          <w:p>
            <w:r>
              <w:t>283</w:t>
            </w:r>
          </w:p>
        </w:tc>
        <w:tc>
          <w:tcPr>
            <w:tcW w:type="dxa" w:w="2160"/>
          </w:tcPr>
          <w:p>
            <w:r>
              <w:t>283</w:t>
            </w:r>
          </w:p>
        </w:tc>
        <w:tc>
          <w:tcPr>
            <w:tcW w:type="dxa" w:w="2160"/>
          </w:tcPr>
          <w:p>
            <w:r>
              <w:t>283</w:t>
            </w:r>
          </w:p>
        </w:tc>
      </w:tr>
      <w:tr>
        <w:tc>
          <w:tcPr>
            <w:tcW w:type="dxa" w:w="2160"/>
          </w:tcPr>
          <w:p>
            <w:r>
              <w:t>CV RMSE (mean)</w:t>
            </w:r>
          </w:p>
        </w:tc>
        <w:tc>
          <w:tcPr>
            <w:tcW w:type="dxa" w:w="2160"/>
          </w:tcPr>
          <w:p>
            <w:r>
              <w:t>0.1887</w:t>
            </w:r>
          </w:p>
        </w:tc>
        <w:tc>
          <w:tcPr>
            <w:tcW w:type="dxa" w:w="2160"/>
          </w:tcPr>
          <w:p>
            <w:r>
              <w:t>0.3497</w:t>
            </w:r>
          </w:p>
        </w:tc>
        <w:tc>
          <w:tcPr>
            <w:tcW w:type="dxa" w:w="2160"/>
          </w:tcPr>
          <w:p>
            <w:r>
              <w:t>0.2199</w:t>
            </w:r>
          </w:p>
        </w:tc>
      </w:tr>
      <w:tr>
        <w:tc>
          <w:tcPr>
            <w:tcW w:type="dxa" w:w="2160"/>
          </w:tcPr>
          <w:p>
            <w:r>
              <w:t>CV MAE (mean)</w:t>
            </w:r>
          </w:p>
        </w:tc>
        <w:tc>
          <w:tcPr>
            <w:tcW w:type="dxa" w:w="2160"/>
          </w:tcPr>
          <w:p>
            <w:r>
              <w:t>0.1500</w:t>
            </w:r>
          </w:p>
        </w:tc>
        <w:tc>
          <w:tcPr>
            <w:tcW w:type="dxa" w:w="2160"/>
          </w:tcPr>
          <w:p>
            <w:r>
              <w:t>0.2529</w:t>
            </w:r>
          </w:p>
        </w:tc>
        <w:tc>
          <w:tcPr>
            <w:tcW w:type="dxa" w:w="2160"/>
          </w:tcPr>
          <w:p>
            <w:r>
              <w:t>0.1402</w:t>
            </w:r>
          </w:p>
        </w:tc>
      </w:tr>
      <w:tr>
        <w:tc>
          <w:tcPr>
            <w:tcW w:type="dxa" w:w="2160"/>
          </w:tcPr>
          <w:p>
            <w:r>
              <w:t>CV R² (mean)</w:t>
            </w:r>
          </w:p>
        </w:tc>
        <w:tc>
          <w:tcPr>
            <w:tcW w:type="dxa" w:w="2160"/>
          </w:tcPr>
          <w:p>
            <w:r>
              <w:t>0.9927</w:t>
            </w:r>
          </w:p>
        </w:tc>
        <w:tc>
          <w:tcPr>
            <w:tcW w:type="dxa" w:w="2160"/>
          </w:tcPr>
          <w:p>
            <w:r>
              <w:t>0.9756</w:t>
            </w:r>
          </w:p>
        </w:tc>
        <w:tc>
          <w:tcPr>
            <w:tcW w:type="dxa" w:w="2160"/>
          </w:tcPr>
          <w:p>
            <w:r>
              <w:t>0.9901</w:t>
            </w:r>
          </w:p>
        </w:tc>
      </w:tr>
      <w:tr>
        <w:tc>
          <w:tcPr>
            <w:tcW w:type="dxa" w:w="2160"/>
          </w:tcPr>
          <w:p>
            <w:r>
              <w:t>Fold-to-fold stability (CV RMSE relative std)</w:t>
            </w:r>
          </w:p>
        </w:tc>
        <w:tc>
          <w:tcPr>
            <w:tcW w:type="dxa" w:w="2160"/>
          </w:tcPr>
          <w:p>
            <w:r>
              <w:t>3.9%</w:t>
            </w:r>
          </w:p>
        </w:tc>
        <w:tc>
          <w:tcPr>
            <w:tcW w:type="dxa" w:w="2160"/>
          </w:tcPr>
          <w:p>
            <w:r>
              <w:t>20.0%</w:t>
            </w:r>
          </w:p>
        </w:tc>
        <w:tc>
          <w:tcPr>
            <w:tcW w:type="dxa" w:w="2160"/>
          </w:tcPr>
          <w:p>
            <w:r>
              <w:t>8.0%</w:t>
            </w:r>
          </w:p>
        </w:tc>
      </w:tr>
      <w:tr>
        <w:tc>
          <w:tcPr>
            <w:tcW w:type="dxa" w:w="2160"/>
          </w:tcPr>
          <w:p>
            <w:r>
              <w:t>Holdout RMSE (seed=42)</w:t>
            </w:r>
          </w:p>
        </w:tc>
        <w:tc>
          <w:tcPr>
            <w:tcW w:type="dxa" w:w="2160"/>
          </w:tcPr>
          <w:p>
            <w:r>
              <w:t>0.1699</w:t>
            </w:r>
          </w:p>
        </w:tc>
        <w:tc>
          <w:tcPr>
            <w:tcW w:type="dxa" w:w="2160"/>
          </w:tcPr>
          <w:p>
            <w:r>
              <w:t>0.2342</w:t>
            </w:r>
          </w:p>
        </w:tc>
        <w:tc>
          <w:tcPr>
            <w:tcW w:type="dxa" w:w="2160"/>
          </w:tcPr>
          <w:p>
            <w:r>
              <w:t>0.1779</w:t>
            </w:r>
          </w:p>
        </w:tc>
      </w:tr>
      <w:tr>
        <w:tc>
          <w:tcPr>
            <w:tcW w:type="dxa" w:w="2160"/>
          </w:tcPr>
          <w:p>
            <w:r>
              <w:t>Holdout MAE (seed=42)</w:t>
            </w:r>
          </w:p>
        </w:tc>
        <w:tc>
          <w:tcPr>
            <w:tcW w:type="dxa" w:w="2160"/>
          </w:tcPr>
          <w:p>
            <w:r>
              <w:t>0.1331</w:t>
            </w:r>
          </w:p>
        </w:tc>
        <w:tc>
          <w:tcPr>
            <w:tcW w:type="dxa" w:w="2160"/>
          </w:tcPr>
          <w:p>
            <w:r>
              <w:t>0.1767</w:t>
            </w:r>
          </w:p>
        </w:tc>
        <w:tc>
          <w:tcPr>
            <w:tcW w:type="dxa" w:w="2160"/>
          </w:tcPr>
          <w:p>
            <w:r>
              <w:t>0.1109</w:t>
            </w:r>
          </w:p>
        </w:tc>
      </w:tr>
      <w:tr>
        <w:tc>
          <w:tcPr>
            <w:tcW w:type="dxa" w:w="2160"/>
          </w:tcPr>
          <w:p>
            <w:r>
              <w:t>Holdout R² (seed=42)</w:t>
            </w:r>
          </w:p>
        </w:tc>
        <w:tc>
          <w:tcPr>
            <w:tcW w:type="dxa" w:w="2160"/>
          </w:tcPr>
          <w:p>
            <w:r>
              <w:t>0.9943</w:t>
            </w:r>
          </w:p>
        </w:tc>
        <w:tc>
          <w:tcPr>
            <w:tcW w:type="dxa" w:w="2160"/>
          </w:tcPr>
          <w:p>
            <w:r>
              <w:t>0.9891</w:t>
            </w:r>
          </w:p>
        </w:tc>
        <w:tc>
          <w:tcPr>
            <w:tcW w:type="dxa" w:w="2160"/>
          </w:tcPr>
          <w:p>
            <w:r>
              <w:t>0.9937</w:t>
            </w:r>
          </w:p>
        </w:tc>
      </w:tr>
      <w:tr>
        <w:tc>
          <w:tcPr>
            <w:tcW w:type="dxa" w:w="2160"/>
          </w:tcPr>
          <w:p>
            <w:r>
              <w:t>Target-shuffle CV R²</w:t>
            </w:r>
          </w:p>
        </w:tc>
        <w:tc>
          <w:tcPr>
            <w:tcW w:type="dxa" w:w="2160"/>
          </w:tcPr>
          <w:p>
            <w:r>
              <w:t>-0.0021</w:t>
            </w:r>
          </w:p>
        </w:tc>
        <w:tc>
          <w:tcPr>
            <w:tcW w:type="dxa" w:w="2160"/>
          </w:tcPr>
          <w:p>
            <w:r>
              <w:t>-0.1212</w:t>
            </w:r>
          </w:p>
        </w:tc>
        <w:tc>
          <w:tcPr>
            <w:tcW w:type="dxa" w:w="2160"/>
          </w:tcPr>
          <w:p>
            <w:r>
              <w:t>-0.2041</w:t>
            </w:r>
          </w:p>
        </w:tc>
      </w:tr>
      <w:tr>
        <w:tc>
          <w:tcPr>
            <w:tcW w:type="dxa" w:w="2160"/>
          </w:tcPr>
          <w:p>
            <w:r>
              <w:t>Repeated-holdout RMSE (mean ± std, 10 splits)</w:t>
            </w:r>
          </w:p>
        </w:tc>
        <w:tc>
          <w:tcPr>
            <w:tcW w:type="dxa" w:w="2160"/>
          </w:tcPr>
          <w:p>
            <w:r>
              <w:t>0.1795 ± 0.0076</w:t>
            </w:r>
          </w:p>
        </w:tc>
        <w:tc>
          <w:tcPr>
            <w:tcW w:type="dxa" w:w="2160"/>
          </w:tcPr>
          <w:p>
            <w:r>
              <w:t>0.2491 ± 0.0163</w:t>
            </w:r>
          </w:p>
        </w:tc>
        <w:tc>
          <w:tcPr>
            <w:tcW w:type="dxa" w:w="2160"/>
          </w:tcPr>
          <w:p>
            <w:r>
              <w:t>0.1889 ± 0.0179</w:t>
            </w:r>
          </w:p>
        </w:tc>
      </w:tr>
      <w:tr>
        <w:tc>
          <w:tcPr>
            <w:tcW w:type="dxa" w:w="2160"/>
          </w:tcPr>
          <w:p>
            <w:r>
              <w:t>Repeated-holdout MAE (mean ± std)</w:t>
            </w:r>
          </w:p>
        </w:tc>
        <w:tc>
          <w:tcPr>
            <w:tcW w:type="dxa" w:w="2160"/>
          </w:tcPr>
          <w:p>
            <w:r>
              <w:t>0.1419 ± 0.0069</w:t>
            </w:r>
          </w:p>
        </w:tc>
        <w:tc>
          <w:tcPr>
            <w:tcW w:type="dxa" w:w="2160"/>
          </w:tcPr>
          <w:p>
            <w:r>
              <w:t>0.1840 ± 0.0092</w:t>
            </w:r>
          </w:p>
        </w:tc>
        <w:tc>
          <w:tcPr>
            <w:tcW w:type="dxa" w:w="2160"/>
          </w:tcPr>
          <w:p>
            <w:r>
              <w:t>0.1192 ± 0.0059</w:t>
            </w:r>
          </w:p>
        </w:tc>
      </w:tr>
      <w:tr>
        <w:tc>
          <w:tcPr>
            <w:tcW w:type="dxa" w:w="2160"/>
          </w:tcPr>
          <w:p>
            <w:r>
              <w:t>Repeated-holdout R² (mean ± std)</w:t>
            </w:r>
          </w:p>
        </w:tc>
        <w:tc>
          <w:tcPr>
            <w:tcW w:type="dxa" w:w="2160"/>
          </w:tcPr>
          <w:p>
            <w:r>
              <w:t>0.9937 ± 0.0008</w:t>
            </w:r>
          </w:p>
        </w:tc>
        <w:tc>
          <w:tcPr>
            <w:tcW w:type="dxa" w:w="2160"/>
          </w:tcPr>
          <w:p>
            <w:r>
              <w:t>0.9880 ± 0.0013</w:t>
            </w:r>
          </w:p>
        </w:tc>
        <w:tc>
          <w:tcPr>
            <w:tcW w:type="dxa" w:w="2160"/>
          </w:tcPr>
          <w:p>
            <w:r>
              <w:t>0.9930 ± 0.0014</w:t>
            </w:r>
          </w:p>
        </w:tc>
      </w:tr>
      <w:tr>
        <w:tc>
          <w:tcPr>
            <w:tcW w:type="dxa" w:w="2160"/>
          </w:tcPr>
          <w:p>
            <w:r>
              <w:t>Win rate across 10 repeated holdouts</w:t>
            </w:r>
          </w:p>
        </w:tc>
        <w:tc>
          <w:tcPr>
            <w:tcW w:type="dxa" w:w="2160"/>
          </w:tcPr>
          <w:p>
            <w:r>
              <w:t>80% (8/10)</w:t>
            </w:r>
          </w:p>
        </w:tc>
        <w:tc>
          <w:tcPr>
            <w:tcW w:type="dxa" w:w="2160"/>
          </w:tcPr>
          <w:p>
            <w:r>
              <w:t>0% (0/10)</w:t>
            </w:r>
          </w:p>
        </w:tc>
        <w:tc>
          <w:tcPr>
            <w:tcW w:type="dxa" w:w="2160"/>
          </w:tcPr>
          <w:p>
            <w:r>
              <w:t>20% (2/10)</w:t>
            </w:r>
          </w:p>
        </w:tc>
      </w:tr>
      <w:tr>
        <w:tc>
          <w:tcPr>
            <w:tcW w:type="dxa" w:w="2160"/>
          </w:tcPr>
          <w:p>
            <w:r>
              <w:t>Train-to-CV generalization gap</w:t>
            </w:r>
          </w:p>
        </w:tc>
        <w:tc>
          <w:tcPr>
            <w:tcW w:type="dxa" w:w="2160"/>
          </w:tcPr>
          <w:p>
            <w:r>
              <w:t>+28%</w:t>
            </w:r>
          </w:p>
        </w:tc>
        <w:tc>
          <w:tcPr>
            <w:tcW w:type="dxa" w:w="2160"/>
          </w:tcPr>
          <w:p>
            <w:r>
              <w:t>+218%</w:t>
            </w:r>
          </w:p>
        </w:tc>
        <w:tc>
          <w:tcPr>
            <w:tcW w:type="dxa" w:w="2160"/>
          </w:tcPr>
          <w:p>
            <w:r>
              <w:t>+664%</w:t>
            </w:r>
          </w:p>
        </w:tc>
      </w:tr>
    </w:tbl>
    <w:p/>
    <w:p>
      <w:r>
        <w:t>ElasticNet leads on cross-validation accuracy, fold-to-fold stability, the majority of repeated holdout splits, and the generalization gap. Important honest finding: with engineered features excluded, the margin between ElasticNet and LightGBM is materially narrower than it was when engineered features were part of the selection universe. LightGBM now wins 2 of 10 repeated-holdout splits outright, and its best individual split (RMSE 0.1690) is marginally better than ElasticNet's best split (RMSE 0.1699). ElasticNet nonetheless remains ahead on every aggregate criterion (mean RMSE, mean R², stability, CV performance, generalization gap), and is still the recommended model — but this is a closer contest than the previous (engineered-feature-inclusive) analysis reported.</w:t>
      </w:r>
    </w:p>
    <w:p>
      <w:pPr>
        <w:pStyle w:val="Heading1"/>
      </w:pPr>
      <w:r>
        <w:rPr>
          <w:color w:val="1F4E79"/>
        </w:rPr>
        <w:t>11. Repeated Holdout Validation</w:t>
      </w:r>
    </w:p>
    <w:p>
      <w:r>
        <w:t>Ten repeated grouped holdout evaluations were run, each with a different deterministic random seed, each splitting the 100 lots into approximately 80 development lots and 20 completely held-out lots. The same 283 original predictors were used for all three models in every split.</w:t>
      </w:r>
    </w:p>
    <w:p>
      <w:r>
        <w:t>ElasticNet won 8 of 10 repeated holdout splits by RMSE; LightGBM won the remaining 2 (seeds 1 and 7). This differs from the earlier engineered-feature-inclusive checkpoint, which found a 100% ElasticNet win rate with non-overlapping performance ranges — that result does not fully hold once engineered features are removed. The performance ranges now overlap at the margins (ElasticNet: 0.1699–0.1936; LightGBM: 0.1690–0.2313), though ElasticNet's mean (0.1795) and standard deviation (0.0076) remain better than LightGBM's (0.1889, 0.0179).</w:t>
      </w:r>
    </w:p>
    <w:p>
      <w:pPr>
        <w:pStyle w:val="Heading1"/>
      </w:pPr>
      <w:r>
        <w:rPr>
          <w:color w:val="1F4E79"/>
        </w:rPr>
        <w:t>12. Target-Shuffle Sanity Test</w:t>
      </w:r>
    </w:p>
    <w:p>
      <w:r>
        <w:t>SortingYield was randomly shuffled — breaking any real relationship between the original predictors and the (now-scrambled) target — and each model was retrained and evaluated using the same grouped cross-validation. If no leakage exists, predictive performance should collapse toward chance level.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Model</w:t>
            </w:r>
          </w:p>
        </w:tc>
        <w:tc>
          <w:tcPr>
            <w:tcW w:type="dxa" w:w="2880"/>
          </w:tcPr>
          <w:p>
            <w:r>
              <w:rPr>
                <w:b/>
              </w:rPr>
              <w:t>Shuffled-target CV R²</w:t>
            </w:r>
          </w:p>
        </w:tc>
        <w:tc>
          <w:tcPr>
            <w:tcW w:type="dxa" w:w="2880"/>
          </w:tcPr>
          <w:p>
            <w:r>
              <w:rPr>
                <w:b/>
              </w:rPr>
              <w:t>Result</w:t>
            </w:r>
          </w:p>
        </w:tc>
      </w:tr>
      <w:tr>
        <w:tc>
          <w:tcPr>
            <w:tcW w:type="dxa" w:w="2880"/>
          </w:tcPr>
          <w:p>
            <w:r>
              <w:t>ElasticNet</w:t>
            </w:r>
          </w:p>
        </w:tc>
        <w:tc>
          <w:tcPr>
            <w:tcW w:type="dxa" w:w="2880"/>
          </w:tcPr>
          <w:p>
            <w:r>
              <w:t>-0.0021</w:t>
            </w:r>
          </w:p>
        </w:tc>
        <w:tc>
          <w:tcPr>
            <w:tcW w:type="dxa" w:w="2880"/>
          </w:tcPr>
          <w:p>
            <w:r>
              <w:t>PASS</w:t>
            </w:r>
          </w:p>
        </w:tc>
      </w:tr>
      <w:tr>
        <w:tc>
          <w:tcPr>
            <w:tcW w:type="dxa" w:w="2880"/>
          </w:tcPr>
          <w:p>
            <w:r>
              <w:t>Random Forest</w:t>
            </w:r>
          </w:p>
        </w:tc>
        <w:tc>
          <w:tcPr>
            <w:tcW w:type="dxa" w:w="2880"/>
          </w:tcPr>
          <w:p>
            <w:r>
              <w:t>-0.1212</w:t>
            </w:r>
          </w:p>
        </w:tc>
        <w:tc>
          <w:tcPr>
            <w:tcW w:type="dxa" w:w="2880"/>
          </w:tcPr>
          <w:p>
            <w:r>
              <w:t>PASS</w:t>
            </w:r>
          </w:p>
        </w:tc>
      </w:tr>
      <w:tr>
        <w:tc>
          <w:tcPr>
            <w:tcW w:type="dxa" w:w="2880"/>
          </w:tcPr>
          <w:p>
            <w:r>
              <w:t>LightGBM</w:t>
            </w:r>
          </w:p>
        </w:tc>
        <w:tc>
          <w:tcPr>
            <w:tcW w:type="dxa" w:w="2880"/>
          </w:tcPr>
          <w:p>
            <w:r>
              <w:t>-0.2041</w:t>
            </w:r>
          </w:p>
        </w:tc>
        <w:tc>
          <w:tcPr>
            <w:tcW w:type="dxa" w:w="2880"/>
          </w:tcPr>
          <w:p>
            <w:r>
              <w:t>PASS</w:t>
            </w:r>
          </w:p>
        </w:tc>
      </w:tr>
    </w:tbl>
    <w:p/>
    <w:p>
      <w:r>
        <w:t>All three models produced negative R² after shuffling — evidence against data leakage in the 283-feature original-predictor set.</w:t>
      </w:r>
    </w:p>
    <w:p>
      <w:pPr>
        <w:pStyle w:val="Heading1"/>
      </w:pPr>
      <w:r>
        <w:rPr>
          <w:color w:val="1F4E79"/>
        </w:rPr>
        <w:t>13. Overfitting / Generalization Analysis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Model</w:t>
            </w:r>
          </w:p>
        </w:tc>
        <w:tc>
          <w:tcPr>
            <w:tcW w:type="dxa" w:w="2160"/>
          </w:tcPr>
          <w:p>
            <w:r>
              <w:rPr>
                <w:b/>
              </w:rPr>
              <w:t>Train RMSE</w:t>
            </w:r>
          </w:p>
        </w:tc>
        <w:tc>
          <w:tcPr>
            <w:tcW w:type="dxa" w:w="2160"/>
          </w:tcPr>
          <w:p>
            <w:r>
              <w:rPr>
                <w:b/>
              </w:rPr>
              <w:t>CV RMSE (gap vs. train)</w:t>
            </w:r>
          </w:p>
        </w:tc>
        <w:tc>
          <w:tcPr>
            <w:tcW w:type="dxa" w:w="2160"/>
          </w:tcPr>
          <w:p>
            <w:r>
              <w:rPr>
                <w:b/>
              </w:rPr>
              <w:t>Holdout RMSE (gap vs. train)</w:t>
            </w:r>
          </w:p>
        </w:tc>
      </w:tr>
      <w:tr>
        <w:tc>
          <w:tcPr>
            <w:tcW w:type="dxa" w:w="2160"/>
          </w:tcPr>
          <w:p>
            <w:r>
              <w:t>ElasticNet</w:t>
            </w:r>
          </w:p>
        </w:tc>
        <w:tc>
          <w:tcPr>
            <w:tcW w:type="dxa" w:w="2160"/>
          </w:tcPr>
          <w:p>
            <w:r>
              <w:t>0.1476</w:t>
            </w:r>
          </w:p>
        </w:tc>
        <w:tc>
          <w:tcPr>
            <w:tcW w:type="dxa" w:w="2160"/>
          </w:tcPr>
          <w:p>
            <w:r>
              <w:t>0.1887 (+28%)</w:t>
            </w:r>
          </w:p>
        </w:tc>
        <w:tc>
          <w:tcPr>
            <w:tcW w:type="dxa" w:w="2160"/>
          </w:tcPr>
          <w:p>
            <w:r>
              <w:t>0.1699 (+15%)</w:t>
            </w:r>
          </w:p>
        </w:tc>
      </w:tr>
      <w:tr>
        <w:tc>
          <w:tcPr>
            <w:tcW w:type="dxa" w:w="2160"/>
          </w:tcPr>
          <w:p>
            <w:r>
              <w:t>Random Forest</w:t>
            </w:r>
          </w:p>
        </w:tc>
        <w:tc>
          <w:tcPr>
            <w:tcW w:type="dxa" w:w="2160"/>
          </w:tcPr>
          <w:p>
            <w:r>
              <w:t>0.1099</w:t>
            </w:r>
          </w:p>
        </w:tc>
        <w:tc>
          <w:tcPr>
            <w:tcW w:type="dxa" w:w="2160"/>
          </w:tcPr>
          <w:p>
            <w:r>
              <w:t>0.3497 (+218%)</w:t>
            </w:r>
          </w:p>
        </w:tc>
        <w:tc>
          <w:tcPr>
            <w:tcW w:type="dxa" w:w="2160"/>
          </w:tcPr>
          <w:p>
            <w:r>
              <w:t>0.2342 (+113%)</w:t>
            </w:r>
          </w:p>
        </w:tc>
      </w:tr>
      <w:tr>
        <w:tc>
          <w:tcPr>
            <w:tcW w:type="dxa" w:w="2160"/>
          </w:tcPr>
          <w:p>
            <w:r>
              <w:t>LightGBM</w:t>
            </w:r>
          </w:p>
        </w:tc>
        <w:tc>
          <w:tcPr>
            <w:tcW w:type="dxa" w:w="2160"/>
          </w:tcPr>
          <w:p>
            <w:r>
              <w:t>0.0288</w:t>
            </w:r>
          </w:p>
        </w:tc>
        <w:tc>
          <w:tcPr>
            <w:tcW w:type="dxa" w:w="2160"/>
          </w:tcPr>
          <w:p>
            <w:r>
              <w:t>0.2199 (+664%)</w:t>
            </w:r>
          </w:p>
        </w:tc>
        <w:tc>
          <w:tcPr>
            <w:tcW w:type="dxa" w:w="2160"/>
          </w:tcPr>
          <w:p>
            <w:r>
              <w:t>0.1779 (+518%)</w:t>
            </w:r>
          </w:p>
        </w:tc>
      </w:tr>
    </w:tbl>
    <w:p/>
    <w:p>
      <w:r>
        <w:t>The same pattern holds with engineered features removed: ElasticNet shows the smallest and healthiest generalization gap. Random Forest shows a clear overfitting signature relative to ElasticNet. LightGBM shows the strongest overfitting signature of all — near-perfect training fit (RMSE 0.029, R² 0.9998) against a validation RMSE six to seven times larger in relative terms. Both tree models still achieve strong absolute validation performance (holdout R² above 0.98); this is a real, measurable overfitting pattern under current default hyperparameters, not evidence of a broken model.</w:t>
      </w:r>
    </w:p>
    <w:p>
      <w:pPr>
        <w:pStyle w:val="Heading1"/>
      </w:pPr>
      <w:r>
        <w:rPr>
          <w:color w:val="1F4E79"/>
        </w:rPr>
        <w:t>14. Reproducibility</w:t>
      </w:r>
    </w:p>
    <w:p>
      <w:r>
        <w:t>This checkpoint's experiments reuse the same shared, corrected evaluation functions (src/models/feature_set_eval.py) validated in the previous checkpoint, where a categorical-column omission defect was found and fixed, and ElasticNet/LightGBM were confirmed bit-identical across repeated fits with identical inputs (Random Forest differing only at ~10⁻¹⁴ floating-point precision). No new reproducibility issues were introduced by removing engineered features from the Stage 1 universe: the same centralized, hard-asserted column-handling logic is used throughout.</w:t>
      </w:r>
    </w:p>
    <w:p>
      <w:pPr>
        <w:pStyle w:val="Heading1"/>
      </w:pPr>
      <w:r>
        <w:rPr>
          <w:color w:val="1F4E79"/>
        </w:rPr>
        <w:t>15. Final Model Decision</w:t>
      </w:r>
    </w:p>
    <w:p>
      <w:r>
        <w:rPr>
          <w:b/>
          <w:color w:val="1F4E79"/>
          <w:sz w:val="26"/>
        </w:rPr>
        <w:t>Current selected Stage 1 Yield Prediction model: ElasticNet</w:t>
      </w:r>
    </w:p>
    <w:p>
      <w:r>
        <w:t>ElasticNet was re-selected on the corrected, original-predictors-only analysis using the full set of criteria:</w:t>
      </w:r>
    </w:p>
    <w:p>
      <w:pPr>
        <w:pStyle w:val="ListBullet"/>
      </w:pPr>
      <w:r>
        <w:t>Lowest CV RMSE and MAE, highest CV R², among all three models.</w:t>
      </w:r>
    </w:p>
    <w:p>
      <w:pPr>
        <w:pStyle w:val="ListBullet"/>
      </w:pPr>
      <w:r>
        <w:t>Majority win rate across repeated grouped holdout splits (80%, 8/10) — not unanimous, but still the clear leader.</w:t>
      </w:r>
    </w:p>
    <w:p>
      <w:pPr>
        <w:pStyle w:val="ListBullet"/>
      </w:pPr>
      <w:r>
        <w:t>Tightest fold-to-fold and split-to-split stability of the three models.</w:t>
      </w:r>
    </w:p>
    <w:p>
      <w:pPr>
        <w:pStyle w:val="ListBullet"/>
      </w:pPr>
      <w:r>
        <w:t>Smallest train-to-validation generalization gap — the healthiest overfitting profile observed.</w:t>
      </w:r>
    </w:p>
    <w:p>
      <w:pPr>
        <w:pStyle w:val="ListBullet"/>
      </w:pPr>
      <w:r>
        <w:t>Passed the target-shuffle sanity test cleanly.</w:t>
      </w:r>
    </w:p>
    <w:p>
      <w:pPr>
        <w:pStyle w:val="ListBullet"/>
      </w:pPr>
      <w:r>
        <w:t>Simplest and most directly interpretable of the three models.</w:t>
      </w:r>
    </w:p>
    <w:p>
      <w:r>
        <w:t>This decision is reported with appropriately tempered confidence relative to the earlier engineered-feature-inclusive analysis: removing engineered features narrowed ElasticNet's advantage over LightGBM materially, and LightGBM should be considered a live, competitive challenger rather than a clearly dominated alternative. ElasticNet is selected for Stage 1 — Yield Prediction — only. This selection does not imply ElasticNet is the appropriate model for relationship discovery. LightGBM remains an important nonlinear challenger and may still be used in Stage 2.</w:t>
      </w:r>
    </w:p>
    <w:p>
      <w:pPr>
        <w:pStyle w:val="Heading1"/>
      </w:pPr>
      <w:r>
        <w:rPr>
          <w:color w:val="1F4E79"/>
        </w:rPr>
        <w:t>16. Important Stage-Separation Note</w:t>
      </w:r>
    </w:p>
    <w:p>
      <w:r>
        <w:rPr>
          <w:b/>
        </w:rPr>
        <w:t>The removal of engineered features applies ONLY to Stage 1 — Yield Prediction. The 307 engineered features are NOT deleted from the project and remain fully available for Stage 2 — Relationship Discovery, which has not been modified in this checkpoint.</w:t>
        <w:br/>
        <w:br/>
        <w:t>Predictor reduction performed in Stage 1 does NOT remove process parameters from Stage 2. The future Relationship Discovery Engine must preserve ALL legitimate original process / ET parameters as eligible candidates, excluding only: the target column, true data-leakage columns, identifiers/non-process metadata, and exact duplicates.</w:t>
        <w:br/>
        <w:br/>
        <w:t>A process parameter that contributes little to pure Yield prediction accuracy may still be critical for: nonlinear behavior, thresholds, process windows, 2-way interactions, 3-way interactions, stage-to-stage changes, Golden Routes, and Worsen Routes. The 283-feature original-predictor prediction set defined in this document must not be mistaken for, or reused as, the feature universe of Stage 2. The 307 engineered features (STAGE_RANGE_*, STAGE_STD_*, STAGE_DELTA_*) remain available and potentially valuable for Stage 2's cross-stage relationship analysis.</w:t>
      </w:r>
    </w:p>
    <w:p>
      <w:pPr>
        <w:pStyle w:val="Heading1"/>
      </w:pPr>
      <w:r>
        <w:rPr>
          <w:color w:val="1F4E79"/>
        </w:rPr>
        <w:t>17. Limitations</w:t>
      </w:r>
    </w:p>
    <w:p>
      <w:pPr>
        <w:pStyle w:val="ListBullet"/>
      </w:pPr>
      <w:r>
        <w:t>Current results are based on a synthetic dataset built for algorithm validation. Model ranking, and the specific numeric margins observed, may differ on real production fab data.</w:t>
      </w:r>
    </w:p>
    <w:p>
      <w:pPr>
        <w:pStyle w:val="ListBullet"/>
      </w:pPr>
      <w:r>
        <w:t>The ElasticNet-vs-LightGBM margin narrowed substantially once engineered features were excluded (repeated-holdout win rate dropped from 100% to 80%, with overlapping performance ranges) — this decision is materially less clear-cut than the previous checkpoint's, and should be revisited if further evidence emerges.</w:t>
      </w:r>
    </w:p>
    <w:p>
      <w:pPr>
        <w:pStyle w:val="ListBullet"/>
      </w:pPr>
      <w:r>
        <w:t>Ten repeated holdout splits were used; a larger repeat count would further tighten the uncertainty estimates, which matters more now given the closer margin.</w:t>
      </w:r>
    </w:p>
    <w:p>
      <w:pPr>
        <w:pStyle w:val="ListBullet"/>
      </w:pPr>
      <w:r>
        <w:t>The 283-feature set was held fixed across all repeated holdout splits (derived once from the seed=42 ranking) rather than independently re-derived inside every split.</w:t>
      </w:r>
    </w:p>
    <w:p>
      <w:pPr>
        <w:pStyle w:val="ListBullet"/>
      </w:pPr>
      <w:r>
        <w:t>LightGBM has not yet been specifically tuned to reduce its train-validation overfitting gap; default hyperparameters were used throughout.</w:t>
      </w:r>
    </w:p>
    <w:p>
      <w:pPr>
        <w:pStyle w:val="ListBullet"/>
      </w:pPr>
      <w:r>
        <w:t>Stage 2 — Relationship Discovery — remains separate, unfinished, and untouched by this document. The 307 engineered features remain available to it.</w:t>
      </w:r>
    </w:p>
    <w:p>
      <w:pPr>
        <w:pStyle w:val="Heading1"/>
      </w:pPr>
      <w:r>
        <w:rPr>
          <w:color w:val="1F4E79"/>
        </w:rPr>
        <w:t>18. Conclusion</w:t>
      </w:r>
    </w:p>
    <w:p>
      <w:r>
        <w:t>Stage 1 — Yield Prediction Engine — has been rebuilt and revalidated using ONLY original raw-CSV predictors, with all 307 engineered features excluded via a hard programmatic assertion. The selected prediction model is ElasticNet, using the validated 283-feature original-predictor set defined in Section 8 — though with a narrower margin over LightGBM than previously reported, now that engineered features are no longer part of the selection universe.</w:t>
      </w:r>
    </w:p>
    <w:p>
      <w:r>
        <w:t>The prediction engine has been validated through:</w:t>
      </w:r>
    </w:p>
    <w:p>
      <w:pPr>
        <w:pStyle w:val="ListBullet"/>
      </w:pPr>
      <w:r>
        <w:t>Grouped cross-validation (5-fold, by LotName), original predictors only</w:t>
      </w:r>
    </w:p>
    <w:p>
      <w:pPr>
        <w:pStyle w:val="ListBullet"/>
      </w:pPr>
      <w:r>
        <w:t>Untouched holdout testing (20 lots never used in model selection)</w:t>
      </w:r>
    </w:p>
    <w:p>
      <w:pPr>
        <w:pStyle w:val="ListBullet"/>
      </w:pPr>
      <w:r>
        <w:t>Repeated grouped holdout testing (10 independent splits)</w:t>
      </w:r>
    </w:p>
    <w:p>
      <w:pPr>
        <w:pStyle w:val="ListBullet"/>
      </w:pPr>
      <w:r>
        <w:t>Feature-set ablation across five original-predictor set sizes</w:t>
      </w:r>
    </w:p>
    <w:p>
      <w:pPr>
        <w:pStyle w:val="ListBullet"/>
      </w:pPr>
      <w:r>
        <w:t>Target-shuffle sanity testing</w:t>
      </w:r>
    </w:p>
    <w:p>
      <w:pPr>
        <w:pStyle w:val="ListBullet"/>
      </w:pPr>
      <w:r>
        <w:t>Overfitting analysis (train vs. CV vs. holdout)</w:t>
      </w:r>
    </w:p>
    <w:p>
      <w:pPr>
        <w:pStyle w:val="ListBullet"/>
      </w:pPr>
      <w:r>
        <w:t>Reproducibility validation (shared, previously-corrected evaluation infrastructure)</w:t>
      </w:r>
    </w:p>
    <w:p>
      <w:r>
        <w:rPr>
          <w:b/>
        </w:rPr>
        <w:t>The next project stage is Stage 2 — Relationship Discovery Engine, which retains full access to all original process parameters AND the 307 engineered features. Stage 2 has not been started as part of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