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5A1827"/>
            <w:tcMar>
              <w:top w:w="360" w:type="dxa"/>
              <w:bottom w:w="360" w:type="dxa"/>
              <w:left w:w="240" w:type="dxa"/>
              <w:right w:w="200" w:type="dxa"/>
            </w:tcMar>
          </w:tcPr>
          <w:p>
            <w:pPr>
              <w:spacing w:before="800" w:after="240"/>
            </w:pPr>
            <w:r>
              <w:rPr>
                <w:rFonts w:ascii="Georgia" w:hAnsi="Georgia"/>
                <w:b/>
                <w:color w:val="C59B5F"/>
                <w:sz w:val="44"/>
              </w:rPr>
              <w:t>»</w:t>
              <w:br/>
              <w:br/>
            </w:r>
            <w:r>
              <w:rPr>
                <w:rFonts w:ascii="Georgia" w:hAnsi="Georgia"/>
                <w:b/>
                <w:color w:val="FFFFFF"/>
                <w:sz w:val="52"/>
              </w:rPr>
              <w:t>Auditoria de</w:t>
              <w:br/>
              <w:t>Processos &amp;</w:t>
              <w:br/>
              <w:t>Proposta Comercial</w:t>
              <w:br/>
              <w:br/>
            </w:r>
            <w:r>
              <w:rPr>
                <w:rFonts w:ascii="Calibri" w:hAnsi="Calibri"/>
                <w:b/>
                <w:color w:val="C59B5F"/>
                <w:sz w:val="19"/>
              </w:rPr>
              <w:t>PLANO DE MANUTENÇÃO INDUSTRIAL E MANUFATURA AUTOMATIZADA</w:t>
            </w:r>
          </w:p>
        </w:tc>
        <w:tc>
          <w:tcPr>
            <w:tcW w:type="dxa" w:w="4680"/>
            <w:shd w:fill="FDFBF7"/>
            <w:tcMar>
              <w:top w:w="360" w:type="dxa"/>
              <w:bottom w:w="360" w:type="dxa"/>
              <w:left w:w="200" w:type="dxa"/>
              <w:right w:w="200" w:type="dxa"/>
            </w:tcMar>
          </w:tcPr>
          <w:p>
            <w:pPr>
              <w:spacing w:before="200" w:after="3600"/>
              <w:jc w:val="right"/>
            </w:pPr>
            <w:r>
              <w:rPr>
                <w:rFonts w:ascii="Georgia" w:hAnsi="Georgia"/>
                <w:b/>
                <w:color w:val="5A1827"/>
                <w:sz w:val="22"/>
              </w:rPr>
              <w:t>M</w:t>
              <w:br/>
              <w:t>IFMG - Betim</w:t>
              <w:br/>
            </w:r>
          </w:p>
          <w:p>
            <w:pPr>
              <w:spacing w:after="80"/>
              <w:jc w:val="right"/>
            </w:pPr>
            <w:r>
              <w:rPr>
                <w:rFonts w:ascii="Calibri" w:hAnsi="Calibri"/>
                <w:color w:val="6E6E6E"/>
                <w:sz w:val="19"/>
              </w:rPr>
              <w:t>Elaborado por:</w:t>
              <w:br/>
            </w:r>
            <w:r>
              <w:rPr>
                <w:rFonts w:ascii="Georgia" w:hAnsi="Georgia"/>
                <w:b/>
                <w:color w:val="5A1827"/>
                <w:sz w:val="24"/>
              </w:rPr>
              <w:t>Kaleb Araújo Lopes Melo</w:t>
              <w:br/>
              <w:br/>
            </w:r>
            <w:r>
              <w:rPr>
                <w:rFonts w:ascii="Calibri" w:hAnsi="Calibri"/>
                <w:color w:val="6E6E6E"/>
                <w:sz w:val="19"/>
              </w:rPr>
              <w:t>Engenharia de Controle e Automação</w:t>
              <w:br/>
              <w:t>Consultoria Técnica em Manutenção</w:t>
              <w:br/>
              <w:br/>
            </w:r>
            <w:r>
              <w:rPr>
                <w:rFonts w:ascii="Calibri" w:hAnsi="Calibri"/>
                <w:b/>
                <w:color w:val="5A1827"/>
                <w:sz w:val="20"/>
              </w:rPr>
              <w:t>28.10.2026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Georgia" w:hAnsi="Georgia"/>
          <w:b/>
          <w:color w:val="5A1827"/>
          <w:sz w:val="36"/>
        </w:rPr>
        <w:t>1. Sumário Executivo &amp; Objetivos</w:t>
      </w:r>
    </w:p>
    <w:p>
      <w:pPr>
        <w:spacing w:after="240" w:line="276" w:lineRule="auto"/>
      </w:pPr>
      <w:r>
        <w:t>Este documento constitui o modelo executivo de Relatório Técnico de Auditoria de Processos Industriais e Proposta Comercial, desenvolvido sob a identidade visual acadêmico-corporativa Maroon &amp; Editorial. O objetivo principal consiste em diagnosticar gargalos operacionais, quantificar perdas de eficiência em linhas automatizadas e estruturar um plano de manutenção preditiva de alto impacto.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5F3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5A182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5A1827"/>
                <w:sz w:val="22"/>
              </w:rPr>
              <w:t>✦ Escopo e Abrangência da Auditoria</w:t>
              <w:br/>
            </w:r>
            <w:r>
              <w:rPr>
                <w:rFonts w:ascii="Calibri" w:hAnsi="Calibri"/>
                <w:color w:val="2B2B2B"/>
                <w:sz w:val="20"/>
              </w:rPr>
              <w:t>A análise contempla o mapeamento de falhas mecânicas, verificação da integridade das redes de comunicação industrial (CAN Bus) e avaliação sistemática do tempo de máquina parada (Downtime) em células de manufatura.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Georgia" w:hAnsi="Georgia"/>
          <w:b/>
          <w:color w:val="5A1827"/>
          <w:sz w:val="36"/>
        </w:rPr>
        <w:t>2. Diagnóstico Operacional e Análise de Falhas</w:t>
      </w:r>
    </w:p>
    <w:p>
      <w:pPr>
        <w:spacing w:after="240" w:line="276" w:lineRule="auto"/>
      </w:pPr>
      <w:r>
        <w:t>Durante o ciclo de avaliação de 30 dias, foram monitoradas três células fabris estratégicas. A tabela a seguir apresenta a consolidação das ocorrências técnicas, o tempo total de inatividade acumulado e os custos financeiros diretos decorrentes das paradas.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A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>Célula de Trabalho</w:t>
            </w:r>
          </w:p>
        </w:tc>
        <w:tc>
          <w:tcPr>
            <w:tcW w:type="dxa" w:w="2340"/>
            <w:shd w:fill="5A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>Tipo de Falha Registrada</w:t>
            </w:r>
          </w:p>
        </w:tc>
        <w:tc>
          <w:tcPr>
            <w:tcW w:type="dxa" w:w="2340"/>
            <w:shd w:fill="5A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>Tempo Parado (h)</w:t>
            </w:r>
          </w:p>
        </w:tc>
        <w:tc>
          <w:tcPr>
            <w:tcW w:type="dxa" w:w="2340"/>
            <w:shd w:fill="5A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>Custo Estimado (R$)</w:t>
            </w:r>
          </w:p>
        </w:tc>
      </w:tr>
      <w:tr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Célula A - Solda Robótica</w:t>
            </w:r>
          </w:p>
        </w:tc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Desalinhamento de Sensores de Posição</w:t>
            </w:r>
          </w:p>
        </w:tc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14,5 h</w:t>
            </w:r>
          </w:p>
        </w:tc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R$ 18.200,00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Célula B - Usinagem CNC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Desgaste Prematuro de Guias Lineares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22,0 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R$ 31.500,00</w:t>
            </w:r>
          </w:p>
        </w:tc>
      </w:tr>
      <w:tr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Célula C - Montagem Final</w:t>
            </w:r>
          </w:p>
        </w:tc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Falha de Comunicação em Rede CAN Bus</w:t>
            </w:r>
          </w:p>
        </w:tc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8,2 h</w:t>
            </w:r>
          </w:p>
        </w:tc>
        <w:tc>
          <w:tcPr>
            <w:tcW w:type="dxa" w:w="234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B2B2B"/>
                <w:sz w:val="20"/>
              </w:rPr>
              <w:t>R$ 9.800,00</w:t>
            </w:r>
          </w:p>
        </w:tc>
      </w:tr>
      <w:tr>
        <w:tc>
          <w:tcPr>
            <w:tcW w:type="dxa" w:w="2340"/>
            <w:shd w:fill="F3EA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5A1827"/>
                <w:sz w:val="20"/>
              </w:rPr>
              <w:t>TOTAL ACUMULADO</w:t>
            </w:r>
          </w:p>
        </w:tc>
        <w:tc>
          <w:tcPr>
            <w:tcW w:type="dxa" w:w="2340"/>
            <w:shd w:fill="F3EA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5A1827"/>
                <w:sz w:val="20"/>
              </w:rPr>
              <w:t>Ocorrências Consolidadas</w:t>
            </w:r>
          </w:p>
        </w:tc>
        <w:tc>
          <w:tcPr>
            <w:tcW w:type="dxa" w:w="2340"/>
            <w:shd w:fill="F3EA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5A1827"/>
                <w:sz w:val="20"/>
              </w:rPr>
              <w:t>44,7 h</w:t>
            </w:r>
          </w:p>
        </w:tc>
        <w:tc>
          <w:tcPr>
            <w:tcW w:type="dxa" w:w="2340"/>
            <w:shd w:fill="F3EA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Georgia" w:hAnsi="Georgia"/>
                <w:b/>
                <w:color w:val="5A1827"/>
                <w:sz w:val="20"/>
              </w:rPr>
              <w:t>R$ 59.500,00</w:t>
            </w:r>
          </w:p>
        </w:tc>
      </w:tr>
    </w:tbl>
    <w:p>
      <w:pPr>
        <w:spacing w:before="240"/>
      </w:pPr>
    </w:p>
    <w:p>
      <w:pPr>
        <w:spacing w:before="320" w:after="120"/>
      </w:pPr>
      <w:r>
        <w:rPr>
          <w:rFonts w:ascii="Georgia" w:hAnsi="Georgia"/>
          <w:b/>
          <w:color w:val="5A1827"/>
          <w:sz w:val="36"/>
        </w:rPr>
        <w:t>3. Proposta de Adequação e Plano de Ação</w:t>
      </w:r>
    </w:p>
    <w:p>
      <w:pPr>
        <w:spacing w:after="160"/>
      </w:pPr>
      <w:r>
        <w:t>Visando elevar a eficiência global dos equipamentos (OEE) e mitigar paradas emergenciais, estabeleceu-se uma estratégia de intervenção dividida em três eixos prioritários:</w:t>
      </w:r>
    </w:p>
    <w:p>
      <w:pPr>
        <w:pStyle w:val="ListBullet"/>
        <w:spacing w:after="80" w:line="276" w:lineRule="auto"/>
      </w:pPr>
      <w:r>
        <w:rPr>
          <w:rFonts w:ascii="Georgia" w:hAnsi="Georgia"/>
          <w:b/>
          <w:color w:val="5A1827"/>
        </w:rPr>
        <w:t xml:space="preserve">Instrumentação e Redes: </w:t>
      </w:r>
      <w:r>
        <w:t>Substituição do sequenciamento de cabos por pares trançados blindados e recalibração milimétrica dos sensores robóticos.</w:t>
      </w:r>
    </w:p>
    <w:p>
      <w:pPr>
        <w:pStyle w:val="ListBullet"/>
        <w:spacing w:after="80" w:line="276" w:lineRule="auto"/>
      </w:pPr>
      <w:r>
        <w:rPr>
          <w:rFonts w:ascii="Georgia" w:hAnsi="Georgia"/>
          <w:b/>
          <w:color w:val="5A1827"/>
        </w:rPr>
        <w:t xml:space="preserve">Manutenção Preventiva e Preditiva: </w:t>
      </w:r>
      <w:r>
        <w:t>Implementação de plano semanal de inspeção mecânica, lubrificação guiada e análise preditiva de vibração.</w:t>
      </w:r>
    </w:p>
    <w:p>
      <w:pPr>
        <w:pStyle w:val="ListBullet"/>
        <w:spacing w:after="80" w:line="276" w:lineRule="auto"/>
      </w:pPr>
      <w:r>
        <w:rPr>
          <w:rFonts w:ascii="Georgia" w:hAnsi="Georgia"/>
          <w:b/>
          <w:color w:val="5A1827"/>
        </w:rPr>
        <w:t xml:space="preserve">Capacitação Técnica: </w:t>
      </w:r>
      <w:r>
        <w:t>Treinamento especializado da equipe local para diagnóstico rápido de redes e interpretação de alarmes no sistema SCADA.</w:t>
      </w:r>
    </w:p>
    <w:p>
      <w:pPr>
        <w:spacing w:before="320" w:after="120"/>
      </w:pPr>
      <w:r>
        <w:rPr>
          <w:rFonts w:ascii="Georgia" w:hAnsi="Georgia"/>
          <w:b/>
          <w:color w:val="5A1827"/>
          <w:sz w:val="36"/>
        </w:rPr>
        <w:t>4. Retorno Sobre o Investimento (ROI)</w:t>
      </w:r>
    </w:p>
    <w:p>
      <w:pPr>
        <w:spacing w:after="320" w:line="276" w:lineRule="auto"/>
      </w:pPr>
      <w:r>
        <w:t>O investimento total para execução do plano de adequação está estimado em R$ 22.000,00, com prazo total de implementação de 15 dias. Frente ao prejuízo mensal mapeado de R$ 59.500,00 com paradas não programadas, o tempo de retorno do investimento (Payback) ocorrerá em menos de 15 dias de operação contínua estabilizada.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5F3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5A182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5A1827"/>
                <w:sz w:val="22"/>
              </w:rPr>
              <w:t>✦ Validação do Plano Operacional</w:t>
              <w:br/>
            </w:r>
            <w:r>
              <w:rPr>
                <w:rFonts w:ascii="Calibri" w:hAnsi="Calibri"/>
                <w:color w:val="2B2B2B"/>
                <w:sz w:val="20"/>
              </w:rPr>
              <w:t>A aprovação desta proposta assegura o início imediato das etapas de aquisição de insumos e agendamento da janela de manutenção.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