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after="200"/>
        <w:jc w:val="center"/>
      </w:pPr>
      <w:r>
        <w:rPr>
          <w:rFonts w:ascii="Arial" w:cs="Arial" w:eastAsia="Arial" w:hAnsi="Arial"/>
          <w:b/>
          <w:bCs/>
          <w:color w:val="1F4E79"/>
          <w:sz w:val="48"/>
          <w:szCs w:val="48"/>
        </w:rPr>
        <w:t xml:space="preserve">TECHNICAL RESPONSE DOCUMENT</w:t>
      </w:r>
    </w:p>
    <w:p>
      <w:pPr>
        <w:spacing w:after="160"/>
        <w:jc w:val="center"/>
      </w:pPr>
      <w:r>
        <w:rPr>
          <w:rFonts w:ascii="Arial" w:cs="Arial" w:eastAsia="Arial" w:hAnsi="Arial"/>
          <w:color w:val="2E75B6"/>
          <w:sz w:val="32"/>
          <w:szCs w:val="32"/>
        </w:rPr>
        <w:t xml:space="preserve">AI-Powered Omnichannel Contact Center &amp; CRM Platform</w:t>
      </w:r>
    </w:p>
    <w:p>
      <w:pPr>
        <w:pBdr>
          <w:bottom w:val="single" w:color="2E75B6" w:sz="4" w:space="1"/>
        </w:pBdr>
        <w:spacing w:after="120" w:before="120"/>
      </w:pPr>
    </w:p>
    <w:p>
      <w:pPr>
        <w:spacing w:after="120" w:before="240"/>
        <w:jc w:val="center"/>
      </w:pPr>
      <w:r>
        <w:rPr>
          <w:rFonts w:ascii="Arial" w:cs="Arial" w:eastAsia="Arial" w:hAnsi="Arial"/>
          <w:color w:val="595959"/>
          <w:sz w:val="22"/>
          <w:szCs w:val="22"/>
        </w:rPr>
        <w:t xml:space="preserve">Prepared in response to:</w:t>
      </w:r>
    </w:p>
    <w:p>
      <w:pPr>
        <w:spacing w:after="80"/>
        <w:jc w:val="center"/>
      </w:pPr>
      <w:r>
        <w:rPr>
          <w:rFonts w:ascii="Arial" w:cs="Arial" w:eastAsia="Arial" w:hAnsi="Arial"/>
          <w:b/>
          <w:bCs/>
          <w:color w:val="1F4E79"/>
          <w:sz w:val="28"/>
          <w:szCs w:val="28"/>
        </w:rPr>
        <w:t xml:space="preserve">LABBIK Telecom S.P.C</w:t>
      </w:r>
    </w:p>
    <w:p>
      <w:pPr>
        <w:spacing w:after="80"/>
        <w:jc w:val="center"/>
      </w:pPr>
      <w:r>
        <w:rPr>
          <w:rFonts w:ascii="Arial" w:cs="Arial" w:eastAsia="Arial" w:hAnsi="Arial"/>
          <w:color w:val="595959"/>
          <w:sz w:val="22"/>
          <w:szCs w:val="22"/>
        </w:rPr>
        <w:t xml:space="preserve">Muscat, Oman</w:t>
      </w:r>
    </w:p>
    <w:p>
      <w:pPr>
        <w:spacing w:after="480"/>
        <w:jc w:val="center"/>
      </w:pPr>
      <w:r>
        <w:rPr>
          <w:rFonts w:ascii="Arial" w:cs="Arial" w:eastAsia="Arial" w:hAnsi="Arial"/>
          <w:color w:val="7F7F7F"/>
          <w:sz w:val="20"/>
          <w:szCs w:val="20"/>
        </w:rPr>
        <w:t xml:space="preserve">TRD Issued: March 2026  |  This Response: May 2026</w:t>
      </w:r>
    </w:p>
    <w:p>
      <w:pPr>
        <w:pBdr>
          <w:bottom w:val="single" w:color="2E75B6" w:sz="4" w:space="1"/>
        </w:pBdr>
        <w:spacing w:after="120" w:before="120"/>
      </w:pPr>
    </w:p>
    <w:p>
      <w:pPr>
        <w:spacing w:after="80" w:before="360"/>
        <w:jc w:val="center"/>
      </w:pPr>
      <w:r>
        <w:rPr>
          <w:rFonts w:ascii="Arial" w:cs="Arial" w:eastAsia="Arial" w:hAnsi="Arial"/>
          <w:b/>
          <w:bCs/>
          <w:color w:val="9C0006"/>
          <w:sz w:val="20"/>
          <w:szCs w:val="20"/>
        </w:rPr>
        <w:t xml:space="preserve">Document Status: DRAFT FOR REVIEW</w:t>
      </w:r>
    </w:p>
    <w:p>
      <w:r>
        <w:br w:type="page"/>
      </w:r>
    </w:p>
    <w:p>
      <w:pPr>
        <w:sectPr>
          <w:pgSz w:w="12240" w:h="15840"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1F4E79"/>
          <w:sz w:val="32"/>
          <w:szCs w:val="32"/>
        </w:rPr>
        <w:t xml:space="preserve">1. Executive Summary</w:t>
      </w:r>
    </w:p>
    <w:p>
      <w:pPr>
        <w:spacing w:after="120"/>
      </w:pPr>
      <w:r>
        <w:rPr>
          <w:rFonts w:ascii="Arial" w:cs="Arial" w:eastAsia="Arial" w:hAnsi="Arial"/>
          <w:sz w:val="22"/>
          <w:szCs w:val="22"/>
        </w:rPr>
        <w:t xml:space="preserve">This document provides a comprehensive technical response to the TRD issued by LABBIK Telecom S.P.C for an AI-Powered Omnichannel Contact Center and CRM Platform. LABBIK's objective is to own, operate, and commercially offer this platform as a managed CX service across Oman and the GCC.</w:t>
      </w:r>
    </w:p>
    <w:p>
      <w:pPr>
        <w:spacing w:after="120"/>
      </w:pPr>
      <w:r>
        <w:rPr>
          <w:rFonts w:ascii="Arial" w:cs="Arial" w:eastAsia="Arial" w:hAnsi="Arial"/>
          <w:sz w:val="22"/>
          <w:szCs w:val="22"/>
        </w:rPr>
        <w:t xml:space="preserve">Our proposed solution is built on an open-source foundation (Chatwoot) extended by purpose-built microservices. This approach delivers full source code ownership, self-hosted deployment, Arabic AI capabilities, multi-tenant SaaS isolation, and a commercially viable billing engine — all aligned to the 9-phase execution roadmap outlined in the TRD.</w:t>
      </w:r>
    </w:p>
    <w:p>
      <w:pPr>
        <w:pBdr>
          <w:bottom w:val="single" w:color="2E75B6" w:sz="4" w:space="1"/>
        </w:pBdr>
        <w:spacing w:after="120" w:before="120"/>
      </w:pPr>
    </w:p>
    <w:p>
      <w:pPr>
        <w:pStyle w:val="Heading1"/>
        <w:spacing w:after="180" w:before="360"/>
      </w:pPr>
      <w:r>
        <w:rPr>
          <w:rFonts w:ascii="Arial" w:cs="Arial" w:eastAsia="Arial" w:hAnsi="Arial"/>
          <w:b/>
          <w:bCs/>
          <w:color w:val="1F4E79"/>
          <w:sz w:val="32"/>
          <w:szCs w:val="32"/>
        </w:rPr>
        <w:t xml:space="preserve">2. TRD Requirements Compliance Matrix</w:t>
      </w:r>
    </w:p>
    <w:p>
      <w:pPr>
        <w:spacing w:after="120"/>
      </w:pPr>
      <w:r>
        <w:rPr>
          <w:rFonts w:ascii="Arial" w:cs="Arial" w:eastAsia="Arial" w:hAnsi="Arial"/>
          <w:sz w:val="22"/>
          <w:szCs w:val="22"/>
        </w:rPr>
        <w:t xml:space="preserve">The table below maps each TRD requirement to its implementation approach and compliance status.</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080"/>
        <w:gridCol w:w="1600"/>
        <w:gridCol w:w="160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TRD Requirement</w:t>
            </w:r>
          </w:p>
        </w:tc>
        <w:tc>
          <w:tcPr>
            <w:tcW w:type="dxa" w:w="40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Implementation Approach</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Omnichannel Contact Center (Web, Email, WA, Social)</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Chatwoot as the unified inbox engine; WhatsApp via Meta BSP; email, web widget, and social via Chatwoot inboxes. Omnichannel Gateway (BFF) fronts all channels.</w:t>
            </w:r>
          </w:p>
        </w:tc>
        <w:tc>
          <w:tcPr>
            <w:tcW w:type="dxa" w:w="1600"/>
            <w:tcBorders>
              <w:top w:val="single" w:color="CCCCCC" w:sz="1"/>
              <w:left w:val="single" w:color="CCCCCC" w:sz="1"/>
              <w:bottom w:val="single" w:color="CCCCCC" w:sz="1"/>
              <w:right w:val="single" w:color="CCCCCC" w:sz="1"/>
            </w:tcBorders>
            <w:shd w:fill="C6EFCE" w:val="clear"/>
            <w:tcMar>
              <w:top w:type="dxa" w:w="80"/>
              <w:left w:type="dxa" w:w="140"/>
              <w:bottom w:type="dxa" w:w="80"/>
              <w:right w:type="dxa" w:w="140"/>
            </w:tcMar>
            <w:vAlign w:val="center"/>
          </w:tcPr>
          <w:p>
            <w:pPr>
              <w:jc w:val="center"/>
            </w:pPr>
            <w:r>
              <w:rPr>
                <w:rFonts w:ascii="Arial" w:cs="Arial" w:eastAsia="Arial" w:hAnsi="Arial"/>
                <w:b/>
                <w:bCs/>
                <w:color w:val="276221"/>
                <w:sz w:val="18"/>
                <w:szCs w:val="18"/>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1</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WhatsApp Business Calling (Voice)</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Meta WhatsApp Business Calling API integration. Custom calling module built on top of Chatwoot conversations — inbound/outbound call UI, notifications, call history in conversation thread.</w:t>
            </w:r>
          </w:p>
        </w:tc>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CUSTOM BUILD</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4</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Voice / PSTN Call Center (ACD)</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Kamailio SBC + Asterisk/FreeSWITCH for PSTN. Custom call-routing-service handles agent state, skills, queues, and overflow. WebRTC for agent browser clients.</w:t>
            </w:r>
          </w:p>
        </w:tc>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CUSTOM BUILD</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4</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IVR (Interactive Voice Response)</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ivr-service with Asterisk AGI/ARI runtime. Per-tenant flow designer with audio asset management. Full DTMF + AI voice-bot barge-in support.</w:t>
            </w:r>
          </w:p>
        </w:tc>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CUSTOM BUILD</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4-6</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CRM &amp; Ticketing System</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Custom ticket-service with relational case model, custom fields, departments, SLA links, and timeline. Synced bidirectionally with Chatwoot conversations.</w:t>
            </w:r>
          </w:p>
        </w:tc>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CUSTOM BUILD</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2</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SLA Management</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Dedicated sla-service with policy versioning, deadline computation, and breach detection workers. Triggers escalation-service on breach events.</w:t>
            </w:r>
          </w:p>
        </w:tc>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CUSTOM BUILD</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3</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Escalation Engine</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escalation-service: event-driven rule DSL (if-event X, then actions Y). Supports notify, reassign, priority queue inject. Dry-run/simulate endpoint.</w:t>
            </w:r>
          </w:p>
        </w:tc>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CUSTOM BUILD</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3</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AI - Reply Suggestions &amp; Summarization</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ai-service with OpenAI/LLM integration. Reply compose AI, conversation summarization, and ticket classification already partially available via Chatwoot + OpenAI integration.</w:t>
            </w:r>
          </w:p>
        </w:tc>
        <w:tc>
          <w:tcPr>
            <w:tcW w:type="dxa" w:w="1600"/>
            <w:tcBorders>
              <w:top w:val="single" w:color="CCCCCC" w:sz="1"/>
              <w:left w:val="single" w:color="CCCCCC" w:sz="1"/>
              <w:bottom w:val="single" w:color="CCCCCC" w:sz="1"/>
              <w:right w:val="single" w:color="CCCCCC" w:sz="1"/>
            </w:tcBorders>
            <w:shd w:fill="FFEB9C" w:val="clear"/>
            <w:tcMar>
              <w:top w:type="dxa" w:w="80"/>
              <w:left w:type="dxa" w:w="140"/>
              <w:bottom w:type="dxa" w:w="80"/>
              <w:right w:type="dxa" w:w="140"/>
            </w:tcMar>
            <w:vAlign w:val="center"/>
          </w:tcPr>
          <w:p>
            <w:pPr>
              <w:jc w:val="center"/>
            </w:pPr>
            <w:r>
              <w:rPr>
                <w:rFonts w:ascii="Arial" w:cs="Arial" w:eastAsia="Arial" w:hAnsi="Arial"/>
                <w:b/>
                <w:bCs/>
                <w:color w:val="9C5700"/>
                <w:sz w:val="18"/>
                <w:szCs w:val="18"/>
              </w:rPr>
              <w:t xml:space="preserve">PARTIAL</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5</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AI - RAG (Knowledge Base)</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ai-service RAG pipeline with pgvector. Per-tenant knowledge base indexing. Agents query KB during live conversations.</w:t>
            </w:r>
          </w:p>
        </w:tc>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CUSTOM BUILD</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5</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AI - STT (Speech-to-Text)</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Post-call STT pipeline in ai-service. Arabic STT via dedicated vendor adapter (e.g., AssemblyAI, Azure Cognitive, or Whisper large-v3 self-hosted).</w:t>
            </w:r>
          </w:p>
        </w:tc>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CUSTOM BUILD</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5</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AI - Arabic Voice Bot</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Voice dialog FSM in ivr-service + ai-service. Streaming STT/TTS in Arabic. Barge-in, intent routing, fallback to human agent via call-routing-service.</w:t>
            </w:r>
          </w:p>
        </w:tc>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CUSTOM BUILD</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6</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Supervisor Tools (Listen/Whisper/Barge)</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voice-supervisor-service: real-time supervisor commands to Asterisk mixmonitor/conference bridges. WebSocket-based supervisor session UI.</w:t>
            </w:r>
          </w:p>
        </w:tc>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CUSTOM BUILD</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4</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Multi-Tenant &amp; White-Label</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tenant-service: tenant registry, Chatwoot account mapping, feature flags, per-tenant branding tokens. Row-level security across all services. Subdomain routing.</w:t>
            </w:r>
          </w:p>
        </w:tc>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CUSTOM BUILD</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7</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Subscription &amp; Billing</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billing-service with PSP (Stripe or regional). Usage metering from event bus (AI tokens, voice minutes, messages). Invoice generation, dunning.</w:t>
            </w:r>
          </w:p>
        </w:tc>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CUSTOM BUILD</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8</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ERP / SSO / Webhook Integration</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integration-service: OIDC SSO bridge, signed outbound webhooks with retry, ERP connector templates (first: Odoo or SAP B1 adapter).</w:t>
            </w:r>
          </w:p>
        </w:tc>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CUSTOM BUILD</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9</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Reporting &amp; Analytics</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Built-in Chatwoot reports for conversations + agents. Extended reporting module pulling from event bus for CDR, SLA, AI usage, billing reconciliation.</w:t>
            </w:r>
          </w:p>
        </w:tc>
        <w:tc>
          <w:tcPr>
            <w:tcW w:type="dxa" w:w="1600"/>
            <w:tcBorders>
              <w:top w:val="single" w:color="CCCCCC" w:sz="1"/>
              <w:left w:val="single" w:color="CCCCCC" w:sz="1"/>
              <w:bottom w:val="single" w:color="CCCCCC" w:sz="1"/>
              <w:right w:val="single" w:color="CCCCCC" w:sz="1"/>
            </w:tcBorders>
            <w:shd w:fill="FFEB9C" w:val="clear"/>
            <w:tcMar>
              <w:top w:type="dxa" w:w="80"/>
              <w:left w:type="dxa" w:w="140"/>
              <w:bottom w:type="dxa" w:w="80"/>
              <w:right w:type="dxa" w:w="140"/>
            </w:tcMar>
            <w:vAlign w:val="center"/>
          </w:tcPr>
          <w:p>
            <w:pPr>
              <w:jc w:val="center"/>
            </w:pPr>
            <w:r>
              <w:rPr>
                <w:rFonts w:ascii="Arial" w:cs="Arial" w:eastAsia="Arial" w:hAnsi="Arial"/>
                <w:b/>
                <w:bCs/>
                <w:color w:val="9C5700"/>
                <w:sz w:val="18"/>
                <w:szCs w:val="18"/>
              </w:rPr>
              <w:t xml:space="preserve">PARTIAL</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5</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Full Source Code Ownership</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Delivered as a complete Git monorepo. All custom services (non-Chatwoot) authored from scratch. Chatwoot MIT license preserved. Full IP transfer included.</w:t>
            </w:r>
          </w:p>
        </w:tc>
        <w:tc>
          <w:tcPr>
            <w:tcW w:type="dxa" w:w="1600"/>
            <w:tcBorders>
              <w:top w:val="single" w:color="CCCCCC" w:sz="1"/>
              <w:left w:val="single" w:color="CCCCCC" w:sz="1"/>
              <w:bottom w:val="single" w:color="CCCCCC" w:sz="1"/>
              <w:right w:val="single" w:color="CCCCCC" w:sz="1"/>
            </w:tcBorders>
            <w:shd w:fill="C6EFCE" w:val="clear"/>
            <w:tcMar>
              <w:top w:type="dxa" w:w="80"/>
              <w:left w:type="dxa" w:w="140"/>
              <w:bottom w:type="dxa" w:w="80"/>
              <w:right w:type="dxa" w:w="140"/>
            </w:tcMar>
            <w:vAlign w:val="center"/>
          </w:tcPr>
          <w:p>
            <w:pPr>
              <w:jc w:val="center"/>
            </w:pPr>
            <w:r>
              <w:rPr>
                <w:rFonts w:ascii="Arial" w:cs="Arial" w:eastAsia="Arial" w:hAnsi="Arial"/>
                <w:b/>
                <w:bCs/>
                <w:color w:val="276221"/>
                <w:sz w:val="18"/>
                <w:szCs w:val="18"/>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All Phases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Self-Hosted / On-Premise Deployment</w:t>
            </w:r>
          </w:p>
        </w:tc>
        <w:tc>
          <w:tcPr>
            <w:tcW w:type="dxa" w:w="4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Docker Compose (dev/staging) + Kubernetes Helm charts (production). Can run on LABBIK's own bare metal, private cloud, or GCC-region public cloud.</w:t>
            </w:r>
          </w:p>
        </w:tc>
        <w:tc>
          <w:tcPr>
            <w:tcW w:type="dxa" w:w="1600"/>
            <w:tcBorders>
              <w:top w:val="single" w:color="CCCCCC" w:sz="1"/>
              <w:left w:val="single" w:color="CCCCCC" w:sz="1"/>
              <w:bottom w:val="single" w:color="CCCCCC" w:sz="1"/>
              <w:right w:val="single" w:color="CCCCCC" w:sz="1"/>
            </w:tcBorders>
            <w:shd w:fill="C6EFCE" w:val="clear"/>
            <w:tcMar>
              <w:top w:type="dxa" w:w="80"/>
              <w:left w:type="dxa" w:w="140"/>
              <w:bottom w:type="dxa" w:w="80"/>
              <w:right w:type="dxa" w:w="140"/>
            </w:tcMar>
            <w:vAlign w:val="center"/>
          </w:tcPr>
          <w:p>
            <w:pPr>
              <w:jc w:val="center"/>
            </w:pPr>
            <w:r>
              <w:rPr>
                <w:rFonts w:ascii="Arial" w:cs="Arial" w:eastAsia="Arial" w:hAnsi="Arial"/>
                <w:b/>
                <w:bCs/>
                <w:color w:val="276221"/>
                <w:sz w:val="18"/>
                <w:szCs w:val="18"/>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1</w:t>
            </w:r>
          </w:p>
        </w:tc>
      </w:tr>
    </w:tbl>
    <w:p>
      <w:r>
        <w:br w:type="page"/>
      </w:r>
    </w:p>
    <w:p>
      <w:pPr>
        <w:pStyle w:val="Heading1"/>
        <w:spacing w:after="180" w:before="360"/>
      </w:pPr>
      <w:r>
        <w:rPr>
          <w:rFonts w:ascii="Arial" w:cs="Arial" w:eastAsia="Arial" w:hAnsi="Arial"/>
          <w:b/>
          <w:bCs/>
          <w:color w:val="1F4E79"/>
          <w:sz w:val="32"/>
          <w:szCs w:val="32"/>
        </w:rPr>
        <w:t xml:space="preserve">3. WhatsApp Business Calling — Detailed Specification</w:t>
      </w:r>
    </w:p>
    <w:p>
      <w:pPr>
        <w:spacing w:after="120"/>
      </w:pPr>
      <w:r>
        <w:rPr>
          <w:rFonts w:ascii="Arial" w:cs="Arial" w:eastAsia="Arial" w:hAnsi="Arial"/>
          <w:sz w:val="22"/>
          <w:szCs w:val="22"/>
        </w:rPr>
        <w:t xml:space="preserve">This section addresses the specific feature identified by LABBIK: adding WhatsApp voice calling capability, similar to Respond.io's implementation.</w:t>
      </w:r>
    </w:p>
    <w:p>
      <w:pPr>
        <w:pStyle w:val="Heading2"/>
        <w:spacing w:after="120" w:before="240"/>
      </w:pPr>
      <w:r>
        <w:rPr>
          <w:rFonts w:ascii="Arial" w:cs="Arial" w:eastAsia="Arial" w:hAnsi="Arial"/>
          <w:b/>
          <w:bCs/>
          <w:color w:val="2E75B6"/>
          <w:sz w:val="26"/>
          <w:szCs w:val="26"/>
        </w:rPr>
        <w:t xml:space="preserve">3.1 Current State</w:t>
      </w:r>
    </w:p>
    <w:p>
      <w:pPr>
        <w:spacing w:after="120"/>
      </w:pPr>
      <w:r>
        <w:rPr>
          <w:rFonts w:ascii="Arial" w:cs="Arial" w:eastAsia="Arial" w:hAnsi="Arial"/>
          <w:sz w:val="22"/>
          <w:szCs w:val="22"/>
        </w:rPr>
        <w:t xml:space="preserve">Chatwoot natively supports WhatsApp messaging (text, media, templates, interactive messages) via the Meta Cloud API. However, as of May 2026, Chatwoot does NOT natively support WhatsApp voice or video calling. This is an open feature request in the Chatwoot GitHub repository (Issues #12678 and #11511).</w:t>
      </w:r>
    </w:p>
    <w:p>
      <w:pPr>
        <w:spacing w:after="120"/>
      </w:pPr>
      <w:r>
        <w:rPr>
          <w:rFonts w:ascii="Arial" w:cs="Arial" w:eastAsia="Arial" w:hAnsi="Arial"/>
          <w:sz w:val="22"/>
          <w:szCs w:val="22"/>
        </w:rPr>
        <w:t xml:space="preserve">Respond.io has implemented this feature using Meta's WhatsApp Business Calling API, which became available through the Cloud API in 2024-2025.</w:t>
      </w:r>
    </w:p>
    <w:p>
      <w:pPr>
        <w:pStyle w:val="Heading2"/>
        <w:spacing w:after="120" w:before="240"/>
      </w:pPr>
      <w:r>
        <w:rPr>
          <w:rFonts w:ascii="Arial" w:cs="Arial" w:eastAsia="Arial" w:hAnsi="Arial"/>
          <w:b/>
          <w:bCs/>
          <w:color w:val="2E75B6"/>
          <w:sz w:val="26"/>
          <w:szCs w:val="26"/>
        </w:rPr>
        <w:t xml:space="preserve">3.2 WhatsApp Business Calling API — How It Works</w:t>
      </w:r>
    </w:p>
    <w:p>
      <w:pPr>
        <w:pStyle w:val="ListParagraph"/>
        <w:numPr>
          <w:ilvl w:val="0"/>
          <w:numId w:val="2"/>
        </w:numPr>
        <w:spacing w:after="60"/>
      </w:pPr>
      <w:r>
        <w:rPr>
          <w:rFonts w:ascii="Arial" w:cs="Arial" w:eastAsia="Arial" w:hAnsi="Arial"/>
          <w:b w:val="false"/>
          <w:bCs w:val="false"/>
          <w:sz w:val="22"/>
          <w:szCs w:val="22"/>
        </w:rPr>
        <w:t xml:space="preserve">Meta's Cloud API now supports both inbound and outbound WhatsApp voice calls for Business accounts</w:t>
      </w:r>
    </w:p>
    <w:p>
      <w:pPr>
        <w:pStyle w:val="ListParagraph"/>
        <w:numPr>
          <w:ilvl w:val="0"/>
          <w:numId w:val="2"/>
        </w:numPr>
        <w:spacing w:after="60"/>
      </w:pPr>
      <w:r>
        <w:rPr>
          <w:rFonts w:ascii="Arial" w:cs="Arial" w:eastAsia="Arial" w:hAnsi="Arial"/>
          <w:b w:val="false"/>
          <w:bCs w:val="false"/>
          <w:sz w:val="22"/>
          <w:szCs w:val="22"/>
        </w:rPr>
        <w:t xml:space="preserve">Inbound calls: customer-initiated — 100% free for the business, no per-minute charges</w:t>
      </w:r>
    </w:p>
    <w:p>
      <w:pPr>
        <w:pStyle w:val="ListParagraph"/>
        <w:numPr>
          <w:ilvl w:val="0"/>
          <w:numId w:val="2"/>
        </w:numPr>
        <w:spacing w:after="60"/>
      </w:pPr>
      <w:r>
        <w:rPr>
          <w:rFonts w:ascii="Arial" w:cs="Arial" w:eastAsia="Arial" w:hAnsi="Arial"/>
          <w:b w:val="false"/>
          <w:bCs w:val="false"/>
          <w:sz w:val="22"/>
          <w:szCs w:val="22"/>
        </w:rPr>
        <w:t xml:space="preserve">Outbound calls: business-initiated — require prior customer permission; billed per minute by region</w:t>
      </w:r>
    </w:p>
    <w:p>
      <w:pPr>
        <w:pStyle w:val="ListParagraph"/>
        <w:numPr>
          <w:ilvl w:val="0"/>
          <w:numId w:val="2"/>
        </w:numPr>
        <w:spacing w:after="60"/>
      </w:pPr>
      <w:r>
        <w:rPr>
          <w:rFonts w:ascii="Arial" w:cs="Arial" w:eastAsia="Arial" w:hAnsi="Arial"/>
          <w:b w:val="false"/>
          <w:bCs w:val="false"/>
          <w:sz w:val="22"/>
          <w:szCs w:val="22"/>
        </w:rPr>
        <w:t xml:space="preserve">Permission requests: business may send up to 1 request per 24 hours, 2 per 7 days per contact</w:t>
      </w:r>
    </w:p>
    <w:p>
      <w:pPr>
        <w:pStyle w:val="ListParagraph"/>
        <w:numPr>
          <w:ilvl w:val="0"/>
          <w:numId w:val="2"/>
        </w:numPr>
        <w:spacing w:after="60"/>
      </w:pPr>
      <w:r>
        <w:rPr>
          <w:rFonts w:ascii="Arial" w:cs="Arial" w:eastAsia="Arial" w:hAnsi="Arial"/>
          <w:b w:val="false"/>
          <w:bCs w:val="false"/>
          <w:sz w:val="22"/>
          <w:szCs w:val="22"/>
        </w:rPr>
        <w:t xml:space="preserve">Minimum requirement: business phone number must have a daily messaging limit of at least 2,000 unique recipients</w:t>
      </w:r>
    </w:p>
    <w:p>
      <w:pPr>
        <w:pStyle w:val="Heading2"/>
        <w:spacing w:after="120" w:before="240"/>
      </w:pPr>
      <w:r>
        <w:rPr>
          <w:rFonts w:ascii="Arial" w:cs="Arial" w:eastAsia="Arial" w:hAnsi="Arial"/>
          <w:b/>
          <w:bCs/>
          <w:color w:val="2E75B6"/>
          <w:sz w:val="26"/>
          <w:szCs w:val="26"/>
        </w:rPr>
        <w:t xml:space="preserve">3.3 Custom Implementation Plan for Chatwoot</w:t>
      </w:r>
    </w:p>
    <w:p>
      <w:pPr>
        <w:spacing w:after="120"/>
      </w:pPr>
      <w:r>
        <w:rPr>
          <w:rFonts w:ascii="Arial" w:cs="Arial" w:eastAsia="Arial" w:hAnsi="Arial"/>
          <w:sz w:val="22"/>
          <w:szCs w:val="22"/>
        </w:rPr>
        <w:t xml:space="preserve">Since this is not yet built in Chatwoot, the following custom development is proposed:</w:t>
      </w:r>
    </w:p>
    <w:p>
      <w:pPr>
        <w:pStyle w:val="Heading3"/>
        <w:spacing w:after="80" w:before="180"/>
      </w:pPr>
      <w:r>
        <w:rPr>
          <w:rFonts w:ascii="Arial" w:cs="Arial" w:eastAsia="Arial" w:hAnsi="Arial"/>
          <w:b/>
          <w:bCs/>
          <w:color w:val="404040"/>
          <w:sz w:val="24"/>
          <w:szCs w:val="24"/>
        </w:rPr>
        <w:t xml:space="preserve">Backend — calling-service (new microservice)</w:t>
      </w:r>
    </w:p>
    <w:p>
      <w:pPr>
        <w:pStyle w:val="ListParagraph"/>
        <w:numPr>
          <w:ilvl w:val="0"/>
          <w:numId w:val="2"/>
        </w:numPr>
        <w:spacing w:after="60"/>
      </w:pPr>
      <w:r>
        <w:rPr>
          <w:rFonts w:ascii="Arial" w:cs="Arial" w:eastAsia="Arial" w:hAnsi="Arial"/>
          <w:b w:val="false"/>
          <w:bCs w:val="false"/>
          <w:sz w:val="22"/>
          <w:szCs w:val="22"/>
        </w:rPr>
        <w:t xml:space="preserve">Subscribe to Meta Calling API webhooks for inbound call events</w:t>
      </w:r>
    </w:p>
    <w:p>
      <w:pPr>
        <w:pStyle w:val="ListParagraph"/>
        <w:numPr>
          <w:ilvl w:val="0"/>
          <w:numId w:val="2"/>
        </w:numPr>
        <w:spacing w:after="60"/>
      </w:pPr>
      <w:r>
        <w:rPr>
          <w:rFonts w:ascii="Arial" w:cs="Arial" w:eastAsia="Arial" w:hAnsi="Arial"/>
          <w:b w:val="false"/>
          <w:bCs w:val="false"/>
          <w:sz w:val="22"/>
          <w:szCs w:val="22"/>
        </w:rPr>
        <w:t xml:space="preserve">Expose REST + WebSocket endpoints for call state management</w:t>
      </w:r>
    </w:p>
    <w:p>
      <w:pPr>
        <w:pStyle w:val="ListParagraph"/>
        <w:numPr>
          <w:ilvl w:val="0"/>
          <w:numId w:val="2"/>
        </w:numPr>
        <w:spacing w:after="60"/>
      </w:pPr>
      <w:r>
        <w:rPr>
          <w:rFonts w:ascii="Arial" w:cs="Arial" w:eastAsia="Arial" w:hAnsi="Arial"/>
          <w:b w:val="false"/>
          <w:bCs w:val="false"/>
          <w:sz w:val="22"/>
          <w:szCs w:val="22"/>
        </w:rPr>
        <w:t xml:space="preserve">Handle call permission request flows (permission_request, permission_response)</w:t>
      </w:r>
    </w:p>
    <w:p>
      <w:pPr>
        <w:pStyle w:val="ListParagraph"/>
        <w:numPr>
          <w:ilvl w:val="0"/>
          <w:numId w:val="2"/>
        </w:numPr>
        <w:spacing w:after="60"/>
      </w:pPr>
      <w:r>
        <w:rPr>
          <w:rFonts w:ascii="Arial" w:cs="Arial" w:eastAsia="Arial" w:hAnsi="Arial"/>
          <w:b w:val="false"/>
          <w:bCs w:val="false"/>
          <w:sz w:val="22"/>
          <w:szCs w:val="22"/>
        </w:rPr>
        <w:t xml:space="preserve">Log call records to call-session-service (CDR, duration, outcome)</w:t>
      </w:r>
    </w:p>
    <w:p>
      <w:pPr>
        <w:pStyle w:val="ListParagraph"/>
        <w:numPr>
          <w:ilvl w:val="0"/>
          <w:numId w:val="2"/>
        </w:numPr>
        <w:spacing w:after="60"/>
      </w:pPr>
      <w:r>
        <w:rPr>
          <w:rFonts w:ascii="Arial" w:cs="Arial" w:eastAsia="Arial" w:hAnsi="Arial"/>
          <w:b w:val="false"/>
          <w:bCs w:val="false"/>
          <w:sz w:val="22"/>
          <w:szCs w:val="22"/>
        </w:rPr>
        <w:t xml:space="preserve">Emit call events to the event bus for billing metering</w:t>
      </w:r>
    </w:p>
    <w:p>
      <w:pPr>
        <w:pStyle w:val="Heading3"/>
        <w:spacing w:after="80" w:before="180"/>
      </w:pPr>
      <w:r>
        <w:rPr>
          <w:rFonts w:ascii="Arial" w:cs="Arial" w:eastAsia="Arial" w:hAnsi="Arial"/>
          <w:b/>
          <w:bCs/>
          <w:color w:val="404040"/>
          <w:sz w:val="24"/>
          <w:szCs w:val="24"/>
        </w:rPr>
        <w:t xml:space="preserve">Frontend — Chatwoot UI Extension</w:t>
      </w:r>
    </w:p>
    <w:p>
      <w:pPr>
        <w:pStyle w:val="ListParagraph"/>
        <w:numPr>
          <w:ilvl w:val="0"/>
          <w:numId w:val="2"/>
        </w:numPr>
        <w:spacing w:after="60"/>
      </w:pPr>
      <w:r>
        <w:rPr>
          <w:rFonts w:ascii="Arial" w:cs="Arial" w:eastAsia="Arial" w:hAnsi="Arial"/>
          <w:b w:val="false"/>
          <w:bCs w:val="false"/>
          <w:sz w:val="22"/>
          <w:szCs w:val="22"/>
        </w:rPr>
        <w:t xml:space="preserve">Call notification banner inside conversation thread when inbound WA call arrives</w:t>
      </w:r>
    </w:p>
    <w:p>
      <w:pPr>
        <w:pStyle w:val="ListParagraph"/>
        <w:numPr>
          <w:ilvl w:val="0"/>
          <w:numId w:val="2"/>
        </w:numPr>
        <w:spacing w:after="60"/>
      </w:pPr>
      <w:r>
        <w:rPr>
          <w:rFonts w:ascii="Arial" w:cs="Arial" w:eastAsia="Arial" w:hAnsi="Arial"/>
          <w:b w:val="false"/>
          <w:bCs w:val="false"/>
          <w:sz w:val="22"/>
          <w:szCs w:val="22"/>
        </w:rPr>
        <w:t xml:space="preserve">Answer / Decline buttons wired to Meta calling API</w:t>
      </w:r>
    </w:p>
    <w:p>
      <w:pPr>
        <w:pStyle w:val="ListParagraph"/>
        <w:numPr>
          <w:ilvl w:val="0"/>
          <w:numId w:val="2"/>
        </w:numPr>
        <w:spacing w:after="60"/>
      </w:pPr>
      <w:r>
        <w:rPr>
          <w:rFonts w:ascii="Arial" w:cs="Arial" w:eastAsia="Arial" w:hAnsi="Arial"/>
          <w:b w:val="false"/>
          <w:bCs w:val="false"/>
          <w:sz w:val="22"/>
          <w:szCs w:val="22"/>
        </w:rPr>
        <w:t xml:space="preserve">Click-to-call button in conversation header for outbound calls</w:t>
      </w:r>
    </w:p>
    <w:p>
      <w:pPr>
        <w:pStyle w:val="ListParagraph"/>
        <w:numPr>
          <w:ilvl w:val="0"/>
          <w:numId w:val="2"/>
        </w:numPr>
        <w:spacing w:after="60"/>
      </w:pPr>
      <w:r>
        <w:rPr>
          <w:rFonts w:ascii="Arial" w:cs="Arial" w:eastAsia="Arial" w:hAnsi="Arial"/>
          <w:b w:val="false"/>
          <w:bCs w:val="false"/>
          <w:sz w:val="22"/>
          <w:szCs w:val="22"/>
        </w:rPr>
        <w:t xml:space="preserve">Call history log displayed as a timeline event within the conversation</w:t>
      </w:r>
    </w:p>
    <w:p>
      <w:pPr>
        <w:pStyle w:val="ListParagraph"/>
        <w:numPr>
          <w:ilvl w:val="0"/>
          <w:numId w:val="2"/>
        </w:numPr>
        <w:spacing w:after="60"/>
      </w:pPr>
      <w:r>
        <w:rPr>
          <w:rFonts w:ascii="Arial" w:cs="Arial" w:eastAsia="Arial" w:hAnsi="Arial"/>
          <w:b w:val="false"/>
          <w:bCs w:val="false"/>
          <w:sz w:val="22"/>
          <w:szCs w:val="22"/>
        </w:rPr>
        <w:t xml:space="preserve">Missed call badge and notification</w:t>
      </w:r>
    </w:p>
    <w:p>
      <w:pPr>
        <w:pStyle w:val="Heading3"/>
        <w:spacing w:after="80" w:before="180"/>
      </w:pPr>
      <w:r>
        <w:rPr>
          <w:rFonts w:ascii="Arial" w:cs="Arial" w:eastAsia="Arial" w:hAnsi="Arial"/>
          <w:b/>
          <w:bCs/>
          <w:color w:val="404040"/>
          <w:sz w:val="24"/>
          <w:szCs w:val="24"/>
        </w:rPr>
        <w:t xml:space="preserve">Technical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68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Meta App Permissions</w:t>
            </w:r>
          </w:p>
        </w:tc>
        <w:tc>
          <w:tcPr>
            <w:tcW w:type="dxa" w:w="68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whatsapp_business_messaging + calling permissions on Meta Business App</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WhatsApp BSP / Cloud API</w:t>
            </w:r>
          </w:p>
        </w:tc>
        <w:tc>
          <w:tcPr>
            <w:tcW w:type="dxa" w:w="68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Must use Meta official Cloud API (not unofficial bridges). Ensure business phone number has 2,000+ daily limit.</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Webhook Endpoint</w:t>
            </w:r>
          </w:p>
        </w:tc>
        <w:tc>
          <w:tcPr>
            <w:tcW w:type="dxa" w:w="68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HTTPS webhook subscribed to calls events: INCOMING_CALL, CALL_COMPLETED, CALL_MISSED, PERMISSION_GRANTED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Browser Audio (Inbound)</w:t>
            </w:r>
          </w:p>
        </w:tc>
        <w:tc>
          <w:tcPr>
            <w:tcW w:type="dxa" w:w="68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Meta handles call audio on the customer side via WhatsApp app. Agent side uses WebRTC or Meta's call bridge API.</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Recording</w:t>
            </w:r>
          </w:p>
        </w:tc>
        <w:tc>
          <w:tcPr>
            <w:tcW w:type="dxa" w:w="68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Post-call recording via calling-service; stored in object storage; accessible from conversation timeline.</w:t>
            </w:r>
          </w:p>
        </w:tc>
      </w:tr>
    </w:tbl>
    <w:p>
      <w:r>
        <w:br w:type="page"/>
      </w:r>
    </w:p>
    <w:p>
      <w:pPr>
        <w:pStyle w:val="Heading1"/>
        <w:spacing w:after="180" w:before="360"/>
      </w:pPr>
      <w:r>
        <w:rPr>
          <w:rFonts w:ascii="Arial" w:cs="Arial" w:eastAsia="Arial" w:hAnsi="Arial"/>
          <w:b/>
          <w:bCs/>
          <w:color w:val="1F4E79"/>
          <w:sz w:val="32"/>
          <w:szCs w:val="32"/>
        </w:rPr>
        <w:t xml:space="preserve">4. Platform Architecture Overview</w:t>
      </w:r>
    </w:p>
    <w:p>
      <w:pPr>
        <w:spacing w:after="120"/>
      </w:pPr>
      <w:r>
        <w:rPr>
          <w:rFonts w:ascii="Arial" w:cs="Arial" w:eastAsia="Arial" w:hAnsi="Arial"/>
          <w:sz w:val="22"/>
          <w:szCs w:val="22"/>
        </w:rPr>
        <w:t xml:space="preserve">The platform follows the API-first modular architecture defined in the TRD. The diagram below summarizes the high-level service topology:</w:t>
      </w:r>
    </w:p>
    <w:p>
      <w:pPr>
        <w:pStyle w:val="Heading2"/>
        <w:spacing w:after="120" w:before="240"/>
      </w:pPr>
      <w:r>
        <w:rPr>
          <w:rFonts w:ascii="Arial" w:cs="Arial" w:eastAsia="Arial" w:hAnsi="Arial"/>
          <w:b/>
          <w:bCs/>
          <w:color w:val="2E75B6"/>
          <w:sz w:val="26"/>
          <w:szCs w:val="26"/>
        </w:rPr>
        <w:t xml:space="preserve">4.1 Core Services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25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Service</w:t>
            </w:r>
          </w:p>
        </w:tc>
        <w:tc>
          <w:tcPr>
            <w:tcW w:type="dxa" w:w="25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25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Gateway</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Omnichannel Gateway (BFF)</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Node.js / nginx + WAF</w:t>
            </w:r>
          </w:p>
        </w:tc>
        <w:tc>
          <w:tcPr>
            <w:tcW w:type="dxa" w:w="2520"/>
            <w:tcBorders>
              <w:top w:val="single" w:color="CCCCCC" w:sz="1"/>
              <w:left w:val="single" w:color="CCCCCC" w:sz="1"/>
              <w:bottom w:val="single" w:color="CCCCCC" w:sz="1"/>
              <w:right w:val="single" w:color="CCCCCC" w:sz="1"/>
            </w:tcBorders>
            <w:shd w:fill="FFEB9C" w:val="clear"/>
            <w:tcMar>
              <w:top w:type="dxa" w:w="80"/>
              <w:left w:type="dxa" w:w="140"/>
              <w:bottom w:type="dxa" w:w="80"/>
              <w:right w:type="dxa" w:w="140"/>
            </w:tcMar>
            <w:vAlign w:val="center"/>
          </w:tcPr>
          <w:p>
            <w:pPr>
              <w:jc w:val="center"/>
            </w:pPr>
            <w:r>
              <w:rPr>
                <w:rFonts w:ascii="Arial" w:cs="Arial" w:eastAsia="Arial" w:hAnsi="Arial"/>
                <w:b/>
                <w:bCs/>
                <w:color w:val="9C5700"/>
                <w:sz w:val="18"/>
                <w:szCs w:val="18"/>
              </w:rPr>
              <w:t xml:space="preserve">UPGRADE</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Communication</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Chatwoot (chat, email, WA msg)</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Ruby on Rails + Vue.js</w:t>
            </w:r>
          </w:p>
        </w:tc>
        <w:tc>
          <w:tcPr>
            <w:tcW w:type="dxa" w:w="2520"/>
            <w:tcBorders>
              <w:top w:val="single" w:color="CCCCCC" w:sz="1"/>
              <w:left w:val="single" w:color="CCCCCC" w:sz="1"/>
              <w:bottom w:val="single" w:color="CCCCCC" w:sz="1"/>
              <w:right w:val="single" w:color="CCCCCC" w:sz="1"/>
            </w:tcBorders>
            <w:shd w:fill="C6EFCE" w:val="clear"/>
            <w:tcMar>
              <w:top w:type="dxa" w:w="80"/>
              <w:left w:type="dxa" w:w="140"/>
              <w:bottom w:type="dxa" w:w="80"/>
              <w:right w:type="dxa" w:w="140"/>
            </w:tcMar>
            <w:vAlign w:val="center"/>
          </w:tcPr>
          <w:p>
            <w:pPr>
              <w:jc w:val="center"/>
            </w:pPr>
            <w:r>
              <w:rPr>
                <w:rFonts w:ascii="Arial" w:cs="Arial" w:eastAsia="Arial" w:hAnsi="Arial"/>
                <w:b/>
                <w:bCs/>
                <w:color w:val="276221"/>
                <w:sz w:val="18"/>
                <w:szCs w:val="18"/>
              </w:rPr>
              <w:t xml:space="preserve">YES</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Communication</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calling-service (WA Calls)</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Node.js / Go</w:t>
            </w:r>
          </w:p>
        </w:tc>
        <w:tc>
          <w:tcPr>
            <w:tcW w:type="dxa" w:w="252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NEW</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Voice/PSTN</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SBC (Kamailio)</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Kamailio + RTPProxy</w:t>
            </w:r>
          </w:p>
        </w:tc>
        <w:tc>
          <w:tcPr>
            <w:tcW w:type="dxa" w:w="252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NEW</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Voice/PSTN</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Media Server</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Asterisk / FreeSWITCH</w:t>
            </w:r>
          </w:p>
        </w:tc>
        <w:tc>
          <w:tcPr>
            <w:tcW w:type="dxa" w:w="252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NEW</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Voice/PSTN</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ivr-service</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Node.js + AGI/ARI adapter</w:t>
            </w:r>
          </w:p>
        </w:tc>
        <w:tc>
          <w:tcPr>
            <w:tcW w:type="dxa" w:w="252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NEW</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Voice/PSTN</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call-routing-service (ACD)</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Go / Node.js + Redis</w:t>
            </w:r>
          </w:p>
        </w:tc>
        <w:tc>
          <w:tcPr>
            <w:tcW w:type="dxa" w:w="252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NEW</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CRM</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ticket-service</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Node.js + PostgreSQL</w:t>
            </w:r>
          </w:p>
        </w:tc>
        <w:tc>
          <w:tcPr>
            <w:tcW w:type="dxa" w:w="252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NEW</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CRM</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sla-service</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Node.js + cron workers</w:t>
            </w:r>
          </w:p>
        </w:tc>
        <w:tc>
          <w:tcPr>
            <w:tcW w:type="dxa" w:w="252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NEW</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CRM</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escalation-service</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Node.js + event consumer</w:t>
            </w:r>
          </w:p>
        </w:tc>
        <w:tc>
          <w:tcPr>
            <w:tcW w:type="dxa" w:w="252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NEW</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AI</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ai-service</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Python (FastAPI) + pgvector</w:t>
            </w:r>
          </w:p>
        </w:tc>
        <w:tc>
          <w:tcPr>
            <w:tcW w:type="dxa" w:w="252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NEW</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Tenant/Auth</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tenant-service</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Node.js + PostgreSQL</w:t>
            </w:r>
          </w:p>
        </w:tc>
        <w:tc>
          <w:tcPr>
            <w:tcW w:type="dxa" w:w="252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NEW</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Integration</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integration-service</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Node.js + queue workers</w:t>
            </w:r>
          </w:p>
        </w:tc>
        <w:tc>
          <w:tcPr>
            <w:tcW w:type="dxa" w:w="252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NEW</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Billing</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billing-service</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Node.js + Stripe/PSP</w:t>
            </w:r>
          </w:p>
        </w:tc>
        <w:tc>
          <w:tcPr>
            <w:tcW w:type="dxa" w:w="2520"/>
            <w:tcBorders>
              <w:top w:val="single" w:color="CCCCCC" w:sz="1"/>
              <w:left w:val="single" w:color="CCCCCC" w:sz="1"/>
              <w:bottom w:val="single" w:color="CCCCCC" w:sz="1"/>
              <w:right w:val="single" w:color="CCCCCC" w:sz="1"/>
            </w:tcBorders>
            <w:shd w:fill="FFEB9C" w:val="clear"/>
            <w:tcMar>
              <w:top w:type="dxa" w:w="80"/>
              <w:left w:type="dxa" w:w="140"/>
              <w:bottom w:type="dxa" w:w="80"/>
              <w:right w:type="dxa" w:w="140"/>
            </w:tcMar>
            <w:vAlign w:val="center"/>
          </w:tcPr>
          <w:p>
            <w:pPr>
              <w:jc w:val="center"/>
            </w:pPr>
            <w:r>
              <w:rPr>
                <w:rFonts w:ascii="Arial" w:cs="Arial" w:eastAsia="Arial" w:hAnsi="Arial"/>
                <w:b/>
                <w:bCs/>
                <w:color w:val="9C5700"/>
                <w:sz w:val="18"/>
                <w:szCs w:val="18"/>
              </w:rPr>
              <w:t xml:space="preserve">UPGRADE</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Infra</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Event Bus</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Redis Streams / NATS</w:t>
            </w:r>
          </w:p>
        </w:tc>
        <w:tc>
          <w:tcPr>
            <w:tcW w:type="dxa" w:w="252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NEW</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Infra</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Object Storage</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MinIO (self-hosted) / S3</w:t>
            </w:r>
          </w:p>
        </w:tc>
        <w:tc>
          <w:tcPr>
            <w:tcW w:type="dxa" w:w="252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NEW</w:t>
            </w:r>
          </w:p>
        </w:tc>
      </w:tr>
    </w:tbl>
    <w:p>
      <w:r>
        <w:br w:type="page"/>
      </w:r>
    </w:p>
    <w:p>
      <w:pPr>
        <w:pStyle w:val="Heading1"/>
        <w:spacing w:after="180" w:before="360"/>
      </w:pPr>
      <w:r>
        <w:rPr>
          <w:rFonts w:ascii="Arial" w:cs="Arial" w:eastAsia="Arial" w:hAnsi="Arial"/>
          <w:b/>
          <w:bCs/>
          <w:color w:val="1F4E79"/>
          <w:sz w:val="32"/>
          <w:szCs w:val="32"/>
        </w:rPr>
        <w:t xml:space="preserve">5. Phased Execution Plan</w:t>
      </w:r>
    </w:p>
    <w:p>
      <w:pPr>
        <w:spacing w:after="120"/>
      </w:pPr>
      <w:r>
        <w:rPr>
          <w:rFonts w:ascii="Arial" w:cs="Arial" w:eastAsia="Arial" w:hAnsi="Arial"/>
          <w:sz w:val="22"/>
          <w:szCs w:val="22"/>
        </w:rPr>
        <w:t xml:space="preserve">The implementation follows the 9-phase roadmap defined in the TRD. Estimated timelines assume a team of 4-6 full-stack + DevOps engineers.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480"/>
        <w:gridCol w:w="220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3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Deliverables</w:t>
            </w:r>
          </w:p>
        </w:tc>
        <w:tc>
          <w:tcPr>
            <w:tcW w:type="dxa" w:w="34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Services</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 Duration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Phase 1</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Gateway hardening, tenant JWT, CI/CD, Chatwoot baseline</w:t>
            </w:r>
          </w:p>
        </w:tc>
        <w:tc>
          <w:tcPr>
            <w:tcW w:type="dxa" w:w="3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gateway-server, tenant-service, Chatwoot</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4-6 weeks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Phase 2</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Relational case/ticket engine, custom fields, case UI</w:t>
            </w:r>
          </w:p>
        </w:tc>
        <w:tc>
          <w:tcPr>
            <w:tcW w:type="dxa" w:w="3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ticket-service, Chatwoot sync</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6-8 weeks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Phase 3</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SLA policies, breach detection, escalation rules</w:t>
            </w:r>
          </w:p>
        </w:tc>
        <w:tc>
          <w:tcPr>
            <w:tcW w:type="dxa" w:w="3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sla-service, escalation-service</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4-5 weeks</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sz w:val="20"/>
                <w:szCs w:val="20"/>
              </w:rPr>
              <w:t xml:space="preserve">Phase 4</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PSTN ACD + IVR production, WhatsApp calling, CDR/recordings, supervisor tools</w:t>
            </w:r>
          </w:p>
        </w:tc>
        <w:tc>
          <w:tcPr>
            <w:tcW w:type="dxa" w:w="3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call-routing, ivr-service, calling-service, Kamailio, Asterisk</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10-14 weeks</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sz w:val="20"/>
                <w:szCs w:val="20"/>
              </w:rPr>
              <w:t xml:space="preserve">Phase 5</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LLM/RAG/STT, auto-classification, post-call STT, extended reporting</w:t>
            </w:r>
          </w:p>
        </w:tc>
        <w:tc>
          <w:tcPr>
            <w:tcW w:type="dxa" w:w="3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ai-service, pgvector, reporting module</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8-10 weeks</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sz w:val="20"/>
                <w:szCs w:val="20"/>
              </w:rPr>
              <w:t xml:space="preserve">Phase 6</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Arabic voice bot, streaming STT/TTS, barge-in, intent routing</w:t>
            </w:r>
          </w:p>
        </w:tc>
        <w:tc>
          <w:tcPr>
            <w:tcW w:type="dxa" w:w="3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ai-service voice sessions, ivr-service ARI path</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6-8 weeks</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Arial" w:cs="Arial" w:eastAsia="Arial" w:hAnsi="Arial"/>
                <w:sz w:val="20"/>
                <w:szCs w:val="20"/>
              </w:rPr>
              <w:t xml:space="preserve">Phase 7</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Row-level security, per-tenant keys, white-label theming, pen test</w:t>
            </w:r>
          </w:p>
        </w:tc>
        <w:tc>
          <w:tcPr>
            <w:tcW w:type="dxa" w:w="3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tenant-service, all services hardening</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5-6 weeks</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Arial" w:cs="Arial" w:eastAsia="Arial" w:hAnsi="Arial"/>
                <w:sz w:val="20"/>
                <w:szCs w:val="20"/>
              </w:rPr>
              <w:t xml:space="preserve">Phase 8</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PSP billing, invoices, usage reconciliation, dunning</w:t>
            </w:r>
          </w:p>
        </w:tc>
        <w:tc>
          <w:tcPr>
            <w:tcW w:type="dxa" w:w="3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billing-service, event bus consumers</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4-5 weeks</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Arial" w:cs="Arial" w:eastAsia="Arial" w:hAnsi="Arial"/>
                <w:sz w:val="20"/>
                <w:szCs w:val="20"/>
              </w:rPr>
              <w:t xml:space="preserve">Phase 9</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ERP connectors, SSO/OIDC, signed webhooks GA</w:t>
            </w:r>
          </w:p>
        </w:tc>
        <w:tc>
          <w:tcPr>
            <w:tcW w:type="dxa" w:w="3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integration-service</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6-8 weeks</w:t>
            </w:r>
          </w:p>
        </w:tc>
      </w:tr>
    </w:tbl>
    <w:p>
      <w:pPr>
        <w:spacing w:after="120"/>
      </w:pPr>
      <w:r>
        <w:rPr>
          <w:rFonts w:ascii="Arial" w:cs="Arial" w:eastAsia="Arial" w:hAnsi="Arial"/>
          <w:color w:val="595959"/>
          <w:sz w:val="20"/>
          <w:szCs w:val="20"/>
        </w:rPr>
        <w:t xml:space="preserve">Total estimated timeline: 53-70 weeks (parallel tracks reduce wall-clock time to ~14-18 months)</w:t>
      </w:r>
    </w:p>
    <w:p>
      <w:pPr>
        <w:pBdr>
          <w:bottom w:val="single" w:color="2E75B6" w:sz="4" w:space="1"/>
        </w:pBdr>
        <w:spacing w:after="120" w:before="120"/>
      </w:pPr>
    </w:p>
    <w:p>
      <w:pPr>
        <w:pStyle w:val="Heading1"/>
        <w:spacing w:after="180" w:before="360"/>
      </w:pPr>
      <w:r>
        <w:rPr>
          <w:rFonts w:ascii="Arial" w:cs="Arial" w:eastAsia="Arial" w:hAnsi="Arial"/>
          <w:b/>
          <w:bCs/>
          <w:color w:val="1F4E79"/>
          <w:sz w:val="32"/>
          <w:szCs w:val="32"/>
        </w:rPr>
        <w:t xml:space="preserve">6. Critical Path — Must Build First</w:t>
      </w:r>
    </w:p>
    <w:p>
      <w:pPr>
        <w:spacing w:after="120"/>
      </w:pPr>
      <w:r>
        <w:rPr>
          <w:rFonts w:ascii="Arial" w:cs="Arial" w:eastAsia="Arial" w:hAnsi="Arial"/>
          <w:sz w:val="22"/>
          <w:szCs w:val="22"/>
        </w:rPr>
        <w:t xml:space="preserve">Five dependencies form the backbone of the platform. All other services hang off these in parallel tracks once available:</w:t>
      </w:r>
    </w:p>
    <w:p>
      <w:pPr>
        <w:pStyle w:val="ListParagraph"/>
        <w:numPr>
          <w:ilvl w:val="0"/>
          <w:numId w:val="2"/>
        </w:numPr>
        <w:spacing w:after="60"/>
      </w:pPr>
      <w:r>
        <w:rPr>
          <w:rFonts w:ascii="Arial" w:cs="Arial" w:eastAsia="Arial" w:hAnsi="Arial"/>
          <w:b/>
          <w:bCs/>
          <w:sz w:val="22"/>
          <w:szCs w:val="22"/>
        </w:rPr>
        <w:t xml:space="preserve">Tenant identity + gateway context — every service needs tenant_id on every request (JWT contract)</w:t>
      </w:r>
    </w:p>
    <w:p>
      <w:pPr>
        <w:pStyle w:val="ListParagraph"/>
        <w:numPr>
          <w:ilvl w:val="0"/>
          <w:numId w:val="2"/>
        </w:numPr>
        <w:spacing w:after="60"/>
      </w:pPr>
      <w:r>
        <w:rPr>
          <w:rFonts w:ascii="Arial" w:cs="Arial" w:eastAsia="Arial" w:hAnsi="Arial"/>
          <w:b/>
          <w:bCs/>
          <w:sz w:val="22"/>
          <w:szCs w:val="22"/>
        </w:rPr>
        <w:t xml:space="preserve">Event bus contract — tenant_id, correlation_id, idempotency_keys defined upfront for all producers/consumers</w:t>
      </w:r>
    </w:p>
    <w:p>
      <w:pPr>
        <w:pStyle w:val="ListParagraph"/>
        <w:numPr>
          <w:ilvl w:val="0"/>
          <w:numId w:val="2"/>
        </w:numPr>
        <w:spacing w:after="60"/>
      </w:pPr>
      <w:r>
        <w:rPr>
          <w:rFonts w:ascii="Arial" w:cs="Arial" w:eastAsia="Arial" w:hAnsi="Arial"/>
          <w:b/>
          <w:bCs/>
          <w:sz w:val="22"/>
          <w:szCs w:val="22"/>
        </w:rPr>
        <w:t xml:space="preserve">ticket-service case IDs — SLA, AI classification, and ERP payloads all anchor to canonical case IDs</w:t>
      </w:r>
    </w:p>
    <w:p>
      <w:pPr>
        <w:pStyle w:val="ListParagraph"/>
        <w:numPr>
          <w:ilvl w:val="0"/>
          <w:numId w:val="2"/>
        </w:numPr>
        <w:spacing w:after="60"/>
      </w:pPr>
      <w:r>
        <w:rPr>
          <w:rFonts w:ascii="Arial" w:cs="Arial" w:eastAsia="Arial" w:hAnsi="Arial"/>
          <w:b/>
          <w:bCs/>
          <w:sz w:val="22"/>
          <w:szCs w:val="22"/>
        </w:rPr>
        <w:t xml:space="preserve">call-routing-service Redis agent/queue model — must be load-tested before IVR scales to production traffic</w:t>
      </w:r>
    </w:p>
    <w:p>
      <w:pPr>
        <w:pStyle w:val="ListParagraph"/>
        <w:numPr>
          <w:ilvl w:val="0"/>
          <w:numId w:val="2"/>
        </w:numPr>
        <w:spacing w:after="60"/>
      </w:pPr>
      <w:r>
        <w:rPr>
          <w:rFonts w:ascii="Arial" w:cs="Arial" w:eastAsia="Arial" w:hAnsi="Arial"/>
          <w:b/>
          <w:bCs/>
          <w:sz w:val="22"/>
          <w:szCs w:val="22"/>
        </w:rPr>
        <w:t xml:space="preserve">integration-service OIDC bridge — enterprise agent login (LABBIK AD) cannot be forced without this</w:t>
      </w:r>
    </w:p>
    <w:p>
      <w:r>
        <w:br w:type="page"/>
      </w:r>
    </w:p>
    <w:p>
      <w:pPr>
        <w:pStyle w:val="Heading1"/>
        <w:spacing w:after="180" w:before="360"/>
      </w:pPr>
      <w:r>
        <w:rPr>
          <w:rFonts w:ascii="Arial" w:cs="Arial" w:eastAsia="Arial" w:hAnsi="Arial"/>
          <w:b/>
          <w:bCs/>
          <w:color w:val="1F4E79"/>
          <w:sz w:val="32"/>
          <w:szCs w:val="32"/>
        </w:rPr>
        <w:t xml:space="preserve">7. Vendor Deliverables</w:t>
      </w:r>
    </w:p>
    <w:p>
      <w:pPr>
        <w:spacing w:after="120"/>
      </w:pPr>
      <w:r>
        <w:rPr>
          <w:rFonts w:ascii="Arial" w:cs="Arial" w:eastAsia="Arial" w:hAnsi="Arial"/>
          <w:sz w:val="22"/>
          <w:szCs w:val="22"/>
        </w:rPr>
        <w:t xml:space="preserve">In compliance with the TRD's vendor deliverables section, the following will be provided upon project completion:</w:t>
      </w:r>
    </w:p>
    <w:p>
      <w:pPr>
        <w:pStyle w:val="Heading2"/>
        <w:spacing w:after="120" w:before="240"/>
      </w:pPr>
      <w:r>
        <w:rPr>
          <w:rFonts w:ascii="Arial" w:cs="Arial" w:eastAsia="Arial" w:hAnsi="Arial"/>
          <w:b/>
          <w:bCs/>
          <w:color w:val="2E75B6"/>
          <w:sz w:val="26"/>
          <w:szCs w:val="26"/>
        </w:rPr>
        <w:t xml:space="preserve">7.1 Source Code &amp; Documentation</w:t>
      </w:r>
    </w:p>
    <w:p>
      <w:pPr>
        <w:pStyle w:val="ListParagraph"/>
        <w:numPr>
          <w:ilvl w:val="0"/>
          <w:numId w:val="2"/>
        </w:numPr>
        <w:spacing w:after="60"/>
      </w:pPr>
      <w:r>
        <w:rPr>
          <w:rFonts w:ascii="Arial" w:cs="Arial" w:eastAsia="Arial" w:hAnsi="Arial"/>
          <w:b w:val="false"/>
          <w:bCs w:val="false"/>
          <w:sz w:val="22"/>
          <w:szCs w:val="22"/>
        </w:rPr>
        <w:t xml:space="preserve">Complete Git monorepo (all custom microservices + Chatwoot fork if modified)</w:t>
      </w:r>
    </w:p>
    <w:p>
      <w:pPr>
        <w:pStyle w:val="ListParagraph"/>
        <w:numPr>
          <w:ilvl w:val="0"/>
          <w:numId w:val="2"/>
        </w:numPr>
        <w:spacing w:after="60"/>
      </w:pPr>
      <w:r>
        <w:rPr>
          <w:rFonts w:ascii="Arial" w:cs="Arial" w:eastAsia="Arial" w:hAnsi="Arial"/>
          <w:b w:val="false"/>
          <w:bCs w:val="false"/>
          <w:sz w:val="22"/>
          <w:szCs w:val="22"/>
        </w:rPr>
        <w:t xml:space="preserve">Full API documentation (OpenAPI 3.0 specs for all services)</w:t>
      </w:r>
    </w:p>
    <w:p>
      <w:pPr>
        <w:pStyle w:val="ListParagraph"/>
        <w:numPr>
          <w:ilvl w:val="0"/>
          <w:numId w:val="2"/>
        </w:numPr>
        <w:spacing w:after="60"/>
      </w:pPr>
      <w:r>
        <w:rPr>
          <w:rFonts w:ascii="Arial" w:cs="Arial" w:eastAsia="Arial" w:hAnsi="Arial"/>
          <w:b w:val="false"/>
          <w:bCs w:val="false"/>
          <w:sz w:val="22"/>
          <w:szCs w:val="22"/>
        </w:rPr>
        <w:t xml:space="preserve">Architecture diagram (C4 model: Context, Container, Component levels)</w:t>
      </w:r>
    </w:p>
    <w:p>
      <w:pPr>
        <w:pStyle w:val="ListParagraph"/>
        <w:numPr>
          <w:ilvl w:val="0"/>
          <w:numId w:val="2"/>
        </w:numPr>
        <w:spacing w:after="60"/>
      </w:pPr>
      <w:r>
        <w:rPr>
          <w:rFonts w:ascii="Arial" w:cs="Arial" w:eastAsia="Arial" w:hAnsi="Arial"/>
          <w:b w:val="false"/>
          <w:bCs w:val="false"/>
          <w:sz w:val="22"/>
          <w:szCs w:val="22"/>
        </w:rPr>
        <w:t xml:space="preserve">Data flow diagram (tenant-scoped data paths, AI pipeline, billing usage flow)</w:t>
      </w:r>
    </w:p>
    <w:p>
      <w:pPr>
        <w:pStyle w:val="ListParagraph"/>
        <w:numPr>
          <w:ilvl w:val="0"/>
          <w:numId w:val="2"/>
        </w:numPr>
        <w:spacing w:after="60"/>
      </w:pPr>
      <w:r>
        <w:rPr>
          <w:rFonts w:ascii="Arial" w:cs="Arial" w:eastAsia="Arial" w:hAnsi="Arial"/>
          <w:b w:val="false"/>
          <w:bCs w:val="false"/>
          <w:sz w:val="22"/>
          <w:szCs w:val="22"/>
        </w:rPr>
        <w:t xml:space="preserve">Deployment architecture diagram (Kubernetes, service mesh, ingress)</w:t>
      </w:r>
    </w:p>
    <w:p>
      <w:pPr>
        <w:pStyle w:val="ListParagraph"/>
        <w:numPr>
          <w:ilvl w:val="0"/>
          <w:numId w:val="2"/>
        </w:numPr>
        <w:spacing w:after="60"/>
      </w:pPr>
      <w:r>
        <w:rPr>
          <w:rFonts w:ascii="Arial" w:cs="Arial" w:eastAsia="Arial" w:hAnsi="Arial"/>
          <w:b w:val="false"/>
          <w:bCs w:val="false"/>
          <w:sz w:val="22"/>
          <w:szCs w:val="22"/>
        </w:rPr>
        <w:t xml:space="preserve">Deployment guides (Docker Compose for dev, Helm charts for K8s production)</w:t>
      </w:r>
    </w:p>
    <w:p>
      <w:pPr>
        <w:pStyle w:val="ListParagraph"/>
        <w:numPr>
          <w:ilvl w:val="0"/>
          <w:numId w:val="2"/>
        </w:numPr>
        <w:spacing w:after="60"/>
      </w:pPr>
      <w:r>
        <w:rPr>
          <w:rFonts w:ascii="Arial" w:cs="Arial" w:eastAsia="Arial" w:hAnsi="Arial"/>
          <w:b w:val="false"/>
          <w:bCs w:val="false"/>
          <w:sz w:val="22"/>
          <w:szCs w:val="22"/>
        </w:rPr>
        <w:t xml:space="preserve">Training materials (admin portal walkthrough, agent onboarding, supervisor guide)</w:t>
      </w:r>
    </w:p>
    <w:p>
      <w:pPr>
        <w:pStyle w:val="Heading2"/>
        <w:spacing w:after="120" w:before="240"/>
      </w:pPr>
      <w:r>
        <w:rPr>
          <w:rFonts w:ascii="Arial" w:cs="Arial" w:eastAsia="Arial" w:hAnsi="Arial"/>
          <w:b/>
          <w:bCs/>
          <w:color w:val="2E75B6"/>
          <w:sz w:val="26"/>
          <w:szCs w:val="26"/>
        </w:rPr>
        <w:t xml:space="preserve">7.2 Commercial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rPr>
          <w:tblHeader/>
        </w:trPr>
        <w:tc>
          <w:tcPr>
            <w:tcW w:type="dxa" w:w="3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Item</w:t>
            </w:r>
          </w:p>
        </w:tc>
        <w:tc>
          <w:tcPr>
            <w:tcW w:type="dxa" w:w="67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Terms</w:t>
            </w:r>
          </w:p>
        </w:tc>
      </w:tr>
      <w:tr>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Licensing Model</w:t>
            </w:r>
          </w:p>
        </w:tc>
        <w:tc>
          <w:tcPr>
            <w:tcW w:type="dxa" w:w="6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Full source code transfer — no SaaS dependency. LABBIK owns all custom-built services outright.</w:t>
            </w:r>
          </w:p>
        </w:tc>
      </w:tr>
      <w:tr>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Source Code Ownership</w:t>
            </w:r>
          </w:p>
        </w:tc>
        <w:tc>
          <w:tcPr>
            <w:tcW w:type="dxa" w:w="6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IP assignment agreement included. Chatwoot remains MIT-licensed (open source). All custom services: 100% LABBIK IP.</w:t>
            </w:r>
          </w:p>
        </w:tc>
      </w:tr>
      <w:tr>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Implementation Cost</w:t>
            </w:r>
          </w:p>
        </w:tc>
        <w:tc>
          <w:tcPr>
            <w:tcW w:type="dxa" w:w="6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To be quoted based on confirmed scope and team composition. Phase 1-4 (core platform) quoted separately from Phases 5-9 (AI + SaaS + billing).</w:t>
            </w:r>
          </w:p>
        </w:tc>
      </w:tr>
      <w:tr>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Support Model</w:t>
            </w:r>
          </w:p>
        </w:tc>
        <w:tc>
          <w:tcPr>
            <w:tcW w:type="dxa" w:w="6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12-month post-delivery support SLA available. Tiered: standard (business hours) / premium (24x7 with 4hr RTO).</w:t>
            </w:r>
          </w:p>
        </w:tc>
      </w:tr>
      <w:tr>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AI Pricing</w:t>
            </w:r>
          </w:p>
        </w:tc>
        <w:tc>
          <w:tcPr>
            <w:tcW w:type="dxa" w:w="6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AI inference costs are pass-through (OpenAI/Azure/etc.). Self-hosted STT (Whisper) option available to eliminate per-minute AI fees.</w:t>
            </w:r>
          </w:p>
        </w:tc>
      </w:tr>
    </w:tbl>
    <w:p>
      <w:r>
        <w:br w:type="page"/>
      </w:r>
    </w:p>
    <w:p>
      <w:pPr>
        <w:pStyle w:val="Heading1"/>
        <w:spacing w:after="180" w:before="360"/>
      </w:pPr>
      <w:r>
        <w:rPr>
          <w:rFonts w:ascii="Arial" w:cs="Arial" w:eastAsia="Arial" w:hAnsi="Arial"/>
          <w:b/>
          <w:bCs/>
          <w:color w:val="1F4E79"/>
          <w:sz w:val="32"/>
          <w:szCs w:val="32"/>
        </w:rPr>
        <w:t xml:space="preserve">8. Technology Stack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000"/>
        <w:gridCol w:w="4560"/>
      </w:tblGrid>
      <w:tr>
        <w:trPr>
          <w:tblHeader/>
        </w:trPr>
        <w:tc>
          <w:tcPr>
            <w:tcW w:type="dxa" w:w="25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4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Rationale</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Chat/Inbox Core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Chatwoot (Rails + Vue.js)</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Proven open-source; omnichannel inboxes; agent UX; MIT license</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PSTN/SIP Edge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Kamailio SBC</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Carrier-grade; widely deployed in GCC telco environments</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Media / IVR</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Asterisk / FreeSWITCH</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Industry standard; ARI for programmatic control; strong Arabic TTS/STT support</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Microservices Runtime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Node.js / Go</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Node for rapid API services; Go for high-throughput ACD/routing</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AI / ML</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Python FastAPI + LangChain</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LLM orchestration, RAG pipelines, STT job management</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Vector DB</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pgvector (PostgreSQL ext.)</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 extra infra; Arabic embedding support; per-tenant isolation via schema</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Event Bus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Redis Streams / NATS</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Low latency; proven for call state and real-time agent events</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PostgreSQL</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Per-service logical DB; row-level security for multi-tenant isolation</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Object Storage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MinIO (self-hosted)</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S3-compatible; fully owned; call recordings, AI training data</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Container Orchestration</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Kubernetes + Helm</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Production-grade; autoscaling; can run on-prem or GCC cloud</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WhatsApp Channel</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Meta Cloud API (BSP)</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Official; required for WhatsApp Business Calling API access</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Billing / PSP</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Stripe or regional PSP</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Usage-based metering; invoice generation; dunning automation</w:t>
            </w:r>
          </w:p>
        </w:tc>
      </w:tr>
    </w:tbl>
    <w:p>
      <w:r>
        <w:br w:type="page"/>
      </w:r>
    </w:p>
    <w:p>
      <w:pPr>
        <w:pStyle w:val="Heading1"/>
        <w:spacing w:after="180" w:before="360"/>
      </w:pPr>
      <w:r>
        <w:rPr>
          <w:rFonts w:ascii="Arial" w:cs="Arial" w:eastAsia="Arial" w:hAnsi="Arial"/>
          <w:b/>
          <w:bCs/>
          <w:color w:val="1F4E79"/>
          <w:sz w:val="32"/>
          <w:szCs w:val="32"/>
        </w:rPr>
        <w:t xml:space="preserve">9. Recommended Next Steps</w:t>
      </w:r>
    </w:p>
    <w:p>
      <w:pPr>
        <w:spacing w:after="120"/>
      </w:pPr>
      <w:r>
        <w:rPr>
          <w:rFonts w:ascii="Arial" w:cs="Arial" w:eastAsia="Arial" w:hAnsi="Arial"/>
          <w:sz w:val="22"/>
          <w:szCs w:val="22"/>
        </w:rPr>
        <w:t xml:space="preserve">To proceed from this TRD response to contract and execution, the following steps are recommended:</w:t>
      </w:r>
    </w:p>
    <w:p>
      <w:pPr>
        <w:pStyle w:val="ListParagraph"/>
        <w:numPr>
          <w:ilvl w:val="0"/>
          <w:numId w:val="3"/>
        </w:numPr>
        <w:spacing w:after="100"/>
      </w:pPr>
      <w:r>
        <w:rPr>
          <w:rFonts w:ascii="Arial" w:cs="Arial" w:eastAsia="Arial" w:hAnsi="Arial"/>
          <w:sz w:val="22"/>
          <w:szCs w:val="22"/>
        </w:rPr>
        <w:t xml:space="preserve">Scope Confirmation Workshop — 2-day technical workshop with LABBIK team to confirm service priorities, Arabic AI vendor selection, and BSP (WhatsApp Business Solution Provider) status.</w:t>
      </w:r>
    </w:p>
    <w:p>
      <w:pPr>
        <w:pStyle w:val="ListParagraph"/>
        <w:numPr>
          <w:ilvl w:val="0"/>
          <w:numId w:val="3"/>
        </w:numPr>
        <w:spacing w:after="100"/>
      </w:pPr>
      <w:r>
        <w:rPr>
          <w:rFonts w:ascii="Arial" w:cs="Arial" w:eastAsia="Arial" w:hAnsi="Arial"/>
          <w:sz w:val="22"/>
          <w:szCs w:val="22"/>
        </w:rPr>
        <w:t xml:space="preserve">WhatsApp Business Calling API Access — LABBIK must confirm Meta Business Manager setup, phone number daily limit (2,000+ recipients), and request calling API beta access if not already approved.</w:t>
      </w:r>
    </w:p>
    <w:p>
      <w:pPr>
        <w:pStyle w:val="ListParagraph"/>
        <w:numPr>
          <w:ilvl w:val="0"/>
          <w:numId w:val="3"/>
        </w:numPr>
        <w:spacing w:after="100"/>
      </w:pPr>
      <w:r>
        <w:rPr>
          <w:rFonts w:ascii="Arial" w:cs="Arial" w:eastAsia="Arial" w:hAnsi="Arial"/>
          <w:sz w:val="22"/>
          <w:szCs w:val="22"/>
        </w:rPr>
        <w:t xml:space="preserve">Infrastructure Planning — Confirm hosting environment (on-premise Muscat data center vs. GCC cloud region). Kubernetes cluster sizing based on expected tenant count and concurrent call volume.</w:t>
      </w:r>
    </w:p>
    <w:p>
      <w:pPr>
        <w:pStyle w:val="ListParagraph"/>
        <w:numPr>
          <w:ilvl w:val="0"/>
          <w:numId w:val="3"/>
        </w:numPr>
        <w:spacing w:after="100"/>
      </w:pPr>
      <w:r>
        <w:rPr>
          <w:rFonts w:ascii="Arial" w:cs="Arial" w:eastAsia="Arial" w:hAnsi="Arial"/>
          <w:sz w:val="22"/>
          <w:szCs w:val="22"/>
        </w:rPr>
        <w:t xml:space="preserve">Phase 1-4 Fixed-Price Proposal — Issue a detailed fixed-price quote for Phases 1-4 (core platform + telephony + WhatsApp calling). Phases 5-9 quoted as a second tranche after Phase 4 delivery.</w:t>
      </w:r>
    </w:p>
    <w:p>
      <w:pPr>
        <w:pStyle w:val="ListParagraph"/>
        <w:numPr>
          <w:ilvl w:val="0"/>
          <w:numId w:val="3"/>
        </w:numPr>
        <w:spacing w:after="100"/>
      </w:pPr>
      <w:r>
        <w:rPr>
          <w:rFonts w:ascii="Arial" w:cs="Arial" w:eastAsia="Arial" w:hAnsi="Arial"/>
          <w:sz w:val="22"/>
          <w:szCs w:val="22"/>
        </w:rPr>
        <w:t xml:space="preserve">Contract &amp; IP Agreement — Execute source code ownership agreement, implementation contract, and 12-month post-delivery support SLA.</w:t>
      </w:r>
    </w:p>
    <w:p>
      <w:pPr>
        <w:pStyle w:val="ListParagraph"/>
        <w:numPr>
          <w:ilvl w:val="0"/>
          <w:numId w:val="3"/>
        </w:numPr>
        <w:spacing w:after="100"/>
      </w:pPr>
      <w:r>
        <w:rPr>
          <w:rFonts w:ascii="Arial" w:cs="Arial" w:eastAsia="Arial" w:hAnsi="Arial"/>
          <w:sz w:val="22"/>
          <w:szCs w:val="22"/>
        </w:rPr>
        <w:t xml:space="preserve">Pilot Client Agreement — Identify one LABBIK pilot client for Phase 1-4 UAT. Real-world pilot data improves AI training and billing metering validation.</w:t>
      </w:r>
    </w:p>
    <w:p>
      <w:pPr>
        <w:pBdr>
          <w:bottom w:val="single" w:color="2E75B6" w:sz="4" w:space="1"/>
        </w:pBdr>
        <w:spacing w:after="120" w:before="120"/>
      </w:pPr>
    </w:p>
    <w:p>
      <w:pPr>
        <w:spacing w:after="240"/>
      </w:pPr>
    </w:p>
    <w:p>
      <w:pPr>
        <w:jc w:val="center"/>
      </w:pPr>
      <w:r>
        <w:rPr>
          <w:rFonts w:ascii="Arial" w:cs="Arial" w:eastAsia="Arial" w:hAnsi="Arial"/>
          <w:color w:val="7F7F7F"/>
          <w:sz w:val="20"/>
          <w:szCs w:val="20"/>
        </w:rPr>
        <w:t xml:space="preserve">— End of Technical Response Document —</w:t>
      </w:r>
    </w:p>
    <w:p>
      <w:pPr>
        <w:spacing w:before="120"/>
        <w:jc w:val="center"/>
      </w:pPr>
      <w:r>
        <w:rPr>
          <w:rFonts w:ascii="Arial" w:cs="Arial" w:eastAsia="Arial" w:hAnsi="Arial"/>
          <w:color w:val="7F7F7F"/>
          <w:sz w:val="18"/>
          <w:szCs w:val="18"/>
        </w:rPr>
        <w:t xml:space="preserve">Prepared: May 2026  |  Document Status: DRAFT FOR REVIEW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jc w:val="center"/>
    </w:pPr>
    <w:r>
      <w:rPr>
        <w:rFonts w:ascii="Arial" w:cs="Arial" w:eastAsia="Arial" w:hAnsi="Arial"/>
        <w:color w:val="7F7F7F"/>
        <w:sz w:val="16"/>
        <w:szCs w:val="16"/>
      </w:rPr>
      <w:t xml:space="preserve">Confidential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tabs>
        <w:tab w:val="right" w:pos="9360"/>
      </w:tabs>
    </w:pPr>
    <w:r>
      <w:rPr>
        <w:rFonts w:ascii="Arial" w:cs="Arial" w:eastAsia="Arial" w:hAnsi="Arial"/>
        <w:color w:val="7F7F7F"/>
        <w:sz w:val="18"/>
        <w:szCs w:val="18"/>
      </w:rPr>
      <w:t xml:space="preserve">LABBIK Telecom TRD Response  |  AI Omnichannel Contact Center</w:t>
    </w:r>
    <w:r>
      <w:rPr>
        <w:sz w:val="18"/>
        <w:szCs w:val="18"/>
      </w:rPr>
      <w:t xml:space="preserve">	</w:t>
    </w:r>
    <w:r>
      <w:rPr>
        <w:rFonts w:ascii="Arial" w:cs="Arial" w:eastAsia="Arial" w:hAnsi="Arial"/>
        <w:color w:val="7F7F7F"/>
        <w:sz w:val="18"/>
        <w:szCs w:val="18"/>
      </w:rPr>
      <w:t xml:space="preserve">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2026-05-20T23:37:17.682Z</dcterms:created>
  <dcterms:modified xsi:type="dcterms:W3CDTF">2026-05-20T23:37:17.682Z</dcterms:modified>
</cp:coreProperties>
</file>

<file path=docProps/custom.xml><?xml version="1.0" encoding="utf-8"?>
<Properties xmlns="http://schemas.openxmlformats.org/officeDocument/2006/custom-properties" xmlns:vt="http://schemas.openxmlformats.org/officeDocument/2006/docPropsVTypes"/>
</file>