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jc w:val="center"/>
      </w:pPr>
      <w:r>
        <w:rPr>
          <w:b/>
          <w:sz w:val="36"/>
        </w:rPr>
        <w:t>INDIVIDUAL REVIEW 3 REPORT</w:t>
      </w:r>
    </w:p>
    <w:p>
      <w:pPr>
        <w:spacing w:after="240"/>
        <w:jc w:val="center"/>
      </w:pPr>
      <w:r>
        <w:rPr>
          <w:i/>
          <w:sz w:val="24"/>
        </w:rPr>
        <w:t>Design and Evaluation of a Context-Aware TinyML Wearable for Elderly Fall Detection, Sensor-Derived Severity Assessment, and Post-Fall Physiological Telemetry</w:t>
        <w:br/>
        <w:t>Individual Specialization: Firmware Pipeline, Bluetooth LE &amp; Caregiver Telemetry Dashboard</w:t>
      </w:r>
    </w:p>
    <w:tbl>
      <w:tblPr>
        <w:tblW w:type="auto" w:w="0"/>
        <w:jc w:val="center"/>
        <w:tblLayout w:type="fixed"/>
        <w:tblLook w:firstColumn="1" w:firstRow="1" w:lastColumn="0" w:lastRow="0" w:noHBand="0" w:noVBand="1" w:val="04A0"/>
      </w:tblPr>
      <w:tblGrid>
        <w:gridCol w:w="4680"/>
        <w:gridCol w:w="4680"/>
      </w:tblGrid>
      <w:tr>
        <w:tc>
          <w:tcPr>
            <w:tcW w:type="dxa" w:w="3168"/>
            <w:shd w:fill="F2F2F2"/>
            <w:tcMar>
              <w:top w:w="80" w:type="dxa"/>
              <w:bottom w:w="80" w:type="dxa"/>
              <w:left w:w="140" w:type="dxa"/>
              <w:right w:w="14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rPr>
                <w:b/>
              </w:rPr>
              <w:t>Student Name:</w:t>
            </w:r>
          </w:p>
        </w:tc>
        <w:tc>
          <w:tcPr>
            <w:tcW w:type="dxa" w:w="6192"/>
            <w:shd w:fill="F2F2F2"/>
            <w:tcMar>
              <w:top w:w="80" w:type="dxa"/>
              <w:bottom w:w="80" w:type="dxa"/>
              <w:left w:w="140" w:type="dxa"/>
              <w:right w:w="14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Hiba Fathima</w:t>
            </w:r>
          </w:p>
        </w:tc>
      </w:tr>
      <w:tr>
        <w:tc>
          <w:tcPr>
            <w:tcW w:type="dxa" w:w="3168"/>
            <w:shd w:fill="F2F2F2"/>
            <w:tcMar>
              <w:top w:w="80" w:type="dxa"/>
              <w:bottom w:w="80" w:type="dxa"/>
              <w:left w:w="140" w:type="dxa"/>
              <w:right w:w="14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rPr>
                <w:b/>
              </w:rPr>
              <w:t>Register Number:</w:t>
            </w:r>
          </w:p>
        </w:tc>
        <w:tc>
          <w:tcPr>
            <w:tcW w:type="dxa" w:w="6192"/>
            <w:shd w:fill="F2F2F2"/>
            <w:tcMar>
              <w:top w:w="80" w:type="dxa"/>
              <w:bottom w:w="80" w:type="dxa"/>
              <w:left w:w="140" w:type="dxa"/>
              <w:right w:w="14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[INSERT REGISTER NUMBER]</w:t>
            </w:r>
          </w:p>
        </w:tc>
      </w:tr>
      <w:tr>
        <w:tc>
          <w:tcPr>
            <w:tcW w:type="dxa" w:w="3168"/>
            <w:shd w:fill="F2F2F2"/>
            <w:tcMar>
              <w:top w:w="80" w:type="dxa"/>
              <w:bottom w:w="80" w:type="dxa"/>
              <w:left w:w="140" w:type="dxa"/>
              <w:right w:w="14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rPr>
                <w:b/>
              </w:rPr>
              <w:t>Team Number:</w:t>
            </w:r>
          </w:p>
        </w:tc>
        <w:tc>
          <w:tcPr>
            <w:tcW w:type="dxa" w:w="6192"/>
            <w:shd w:fill="F2F2F2"/>
            <w:tcMar>
              <w:top w:w="80" w:type="dxa"/>
              <w:bottom w:w="80" w:type="dxa"/>
              <w:left w:w="140" w:type="dxa"/>
              <w:right w:w="14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[INSERT TEAM NUMBER]</w:t>
            </w:r>
          </w:p>
        </w:tc>
      </w:tr>
      <w:tr>
        <w:tc>
          <w:tcPr>
            <w:tcW w:type="dxa" w:w="3168"/>
            <w:shd w:fill="F2F2F2"/>
            <w:tcMar>
              <w:top w:w="80" w:type="dxa"/>
              <w:bottom w:w="80" w:type="dxa"/>
              <w:left w:w="140" w:type="dxa"/>
              <w:right w:w="14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rPr>
                <w:b/>
              </w:rPr>
              <w:t>Review:</w:t>
            </w:r>
          </w:p>
        </w:tc>
        <w:tc>
          <w:tcPr>
            <w:tcW w:type="dxa" w:w="6192"/>
            <w:shd w:fill="F2F2F2"/>
            <w:tcMar>
              <w:top w:w="80" w:type="dxa"/>
              <w:bottom w:w="80" w:type="dxa"/>
              <w:left w:w="140" w:type="dxa"/>
              <w:right w:w="14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R3 – Final Prototype, Report, Testing &amp; Viva Voce</w:t>
            </w:r>
          </w:p>
        </w:tc>
      </w:tr>
      <w:tr>
        <w:tc>
          <w:tcPr>
            <w:tcW w:type="dxa" w:w="3168"/>
            <w:shd w:fill="F2F2F2"/>
            <w:tcMar>
              <w:top w:w="80" w:type="dxa"/>
              <w:bottom w:w="80" w:type="dxa"/>
              <w:left w:w="140" w:type="dxa"/>
              <w:right w:w="14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rPr>
                <w:b/>
              </w:rPr>
              <w:t>Individual Specialization Role:</w:t>
            </w:r>
          </w:p>
        </w:tc>
        <w:tc>
          <w:tcPr>
            <w:tcW w:type="dxa" w:w="6192"/>
            <w:shd w:fill="F2F2F2"/>
            <w:tcMar>
              <w:top w:w="80" w:type="dxa"/>
              <w:bottom w:w="80" w:type="dxa"/>
              <w:left w:w="140" w:type="dxa"/>
              <w:right w:w="14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Firmware, BLE Communication and IoT Dashboard</w:t>
            </w:r>
          </w:p>
        </w:tc>
      </w:tr>
      <w:tr>
        <w:tc>
          <w:tcPr>
            <w:tcW w:type="dxa" w:w="3168"/>
            <w:shd w:fill="F2F2F2"/>
            <w:tcMar>
              <w:top w:w="80" w:type="dxa"/>
              <w:bottom w:w="80" w:type="dxa"/>
              <w:left w:w="140" w:type="dxa"/>
              <w:right w:w="14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rPr>
                <w:b/>
              </w:rPr>
              <w:t>Project Hardware Platform:</w:t>
            </w:r>
          </w:p>
        </w:tc>
        <w:tc>
          <w:tcPr>
            <w:tcW w:type="dxa" w:w="6192"/>
            <w:shd w:fill="F2F2F2"/>
            <w:tcMar>
              <w:top w:w="80" w:type="dxa"/>
              <w:bottom w:w="80" w:type="dxa"/>
              <w:left w:w="140" w:type="dxa"/>
              <w:right w:w="14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ESP32-S3 Dual-Core MCU (FreeRTOS, TFLite Micro, MPU-6050, MAX30102)</w:t>
            </w:r>
          </w:p>
        </w:tc>
      </w:tr>
    </w:tbl>
    <w:p>
      <w:pPr>
        <w:spacing w:after="160"/>
      </w:pPr>
    </w:p>
    <w:p>
      <w:pPr>
        <w:keepNext/>
        <w:spacing w:before="320" w:after="80"/>
      </w:pPr>
      <w:r>
        <w:rPr>
          <w:b/>
          <w:sz w:val="30"/>
        </w:rPr>
        <w:t>Abstract</w:t>
      </w:r>
    </w:p>
    <w:p>
      <w:pPr>
        <w:spacing w:after="120" w:line="276" w:lineRule="auto"/>
      </w:pPr>
      <w:r>
        <w:rPr>
          <w:b/>
        </w:rPr>
        <w:t xml:space="preserve">Academic Abstract: </w:t>
      </w:r>
      <w:r>
        <w:t>Falls among older adults represent a major public health concern, frequently resulting in trauma, acute hospitalization, and prolonged post-fall immobilization. This report presents the design, implementation, and empirical evaluation of a wearable fall-management prototype based on the ESP32-S3 microcontroller, emphasizing my individual contributions in Firmware, BLE Communication and IoT Dashboard. The system acquires 6-axis inertial measurement unit (IMU) data at 50 Hz and processes fixed-length sliding windows (256 time steps x 6 channels, 50% overlap). An 8-bit quantized Squeeze-and-Excitation Residual 1D-CNN (TinyFallNet) was trained to classify movement into three categories: Activities of Daily Living (ADL), Pre-Fall balance losses, and Fall events. On a held-out test partition comprising 18,884 windows from the SisFall dataset (out of 116,988 total processed windows), the proposed model achieved an overall accuracy of 97.45%, a fall-class sensitivity of 95.80%, a specificity of 99.48%, and a fall-class F1-score of 0.8988. The post-training quantized INT8 model occupies 20.48 KB of Flash storage and requires an estimated 4.0% of microcontroller RAM, with a measured single-window inference latency of 3.01 ms on an x86 host CPU (serving as an upper-bound baseline). In addition to classification, the prototype incorporates a sensor-derived kinematic severity score (categorizing confirmed falls into Mild, Moderate, and Severe tiers based on peak impact acceleration, angular velocity, and post-impact immobility variance) and triggers an optical photoplethysmography (PPG) module (MAX30102) to record post-fall heart rate and blood oxygen saturation. Evaluated limitations include potential correlation across overlapping test windows in the benchmark split, optical motion artifacts immediately following impact, and the operational discrepancy between controlled young-volunteer fall simulations and real-world geriatric falls.</w:t>
      </w:r>
    </w:p>
    <w:p>
      <w:pPr>
        <w:keepNext/>
        <w:spacing w:before="320" w:after="80"/>
      </w:pPr>
      <w:r>
        <w:rPr>
          <w:b/>
          <w:sz w:val="30"/>
        </w:rPr>
        <w:t>1. Introduction</w:t>
      </w:r>
    </w:p>
    <w:p>
      <w:pPr>
        <w:spacing w:after="120" w:line="276" w:lineRule="auto"/>
      </w:pPr>
      <w:r>
        <w:rPr>
          <w:b/>
        </w:rPr>
        <w:t xml:space="preserve">Clinical Context &amp; Engineering Motivation: </w:t>
      </w:r>
      <w:r>
        <w:t>Geriatric fall events represent a critical clinical emergency where delayed detection directly causes severe secondary medical complications including pressure necrosis, dehydration, and hypothermia. From an embedded firmware and communications engineering standpoint, conventional fall systems suffer from rigid, monolithic software architectures: alarms either generate unprioritized binary alerts over unreliable cellular channels or depend on continuous, high-latency cloud processing that fails during network dropouts.</w:t>
      </w:r>
    </w:p>
    <w:p>
      <w:pPr>
        <w:spacing w:after="120" w:line="276" w:lineRule="auto"/>
      </w:pPr>
      <w:r>
        <w:rPr>
          <w:b/>
        </w:rPr>
        <w:t xml:space="preserve">Identified Limitations of Existing Systems: </w:t>
      </w:r>
      <w:r>
        <w:t>Existing wearable telecare solutions present significant firmware and telemetry shortcomings. First, commercial devices rarely prioritize alarms; treating a minor slip identically to a high-speed fall induces alarm fatigue among family members and emergency dispatchers. Second, firmware architectures frequently lack real-time synchronization between motion classification and subsequent physiological vital-sign acquisition, often resulting in optical pulse readings severely corrupted by motion artifacts immediately post-impact. Third, proprietary telecare systems lack open, transparent communication interfaces, restricting caregiver monitoring to expensive, closed proprietary subscription portals.</w:t>
      </w:r>
    </w:p>
    <w:p>
      <w:pPr>
        <w:spacing w:after="120" w:line="276" w:lineRule="auto"/>
      </w:pPr>
      <w:r>
        <w:rPr>
          <w:b/>
        </w:rPr>
        <w:t xml:space="preserve">Project Scope &amp; Individual Specialization: </w:t>
      </w:r>
      <w:r>
        <w:t>The proposed TARP project resolves these firmware bottlenecks through a multi-threaded FreeRTOS embedded architecture executing on the ESP32-S3, implementing on-device TinyML inference, multi-stage kinematic severity scoring, and an event-triggered optical PPG filter. As the lead engineer responsible for Firmware, BLE Communication and IoT Dashboard, my work focused on FreeRTOS dual-core task scheduling, I2C driver design with bus timeout recovery, BLE 5.0 GATT server architecture, and the responsive Caregiver Telemetry Dashboard.</w:t>
      </w:r>
    </w:p>
    <w:p>
      <w:pPr>
        <w:keepNext/>
        <w:spacing w:before="320" w:after="80"/>
      </w:pPr>
      <w:r>
        <w:rPr>
          <w:b/>
          <w:sz w:val="30"/>
        </w:rPr>
        <w:t>2. Literature Review and Research Gap</w:t>
      </w:r>
    </w:p>
    <w:p>
      <w:pPr>
        <w:spacing w:after="120" w:line="276" w:lineRule="auto"/>
      </w:pPr>
      <w:r>
        <w:t>From the 30 Q1-indexed journal articles surveyed during Review 1, 10 primary papers directly relevant to Firmware, BLE Communication and IoT Dashboard were examined. The table below presents each study's methodology, reported strengths, documented limitations, and the engineering focus of our project:</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728"/>
            <w:shd w:fill="F2F2F2"/>
            <w:tcMar>
              <w:top w:w="100" w:type="dxa"/>
              <w:bottom w:w="100" w:type="dxa"/>
              <w:left w:w="140" w:type="dxa"/>
              <w:right w:w="140" w:type="dxa"/>
            </w:tcMar>
            <w:tcBorders>
              <w:top w:val="single" w:sz="4" w:space="0" w:color="D3D3D3"/>
              <w:bottom w:val="single" w:sz="4" w:space="0" w:color="D3D3D3"/>
              <w:left w:val="single" w:sz="4" w:space="0" w:color="D3D3D3"/>
              <w:right w:val="single" w:sz="4" w:space="0" w:color="D3D3D3"/>
            </w:tcBorders>
            <w:vAlign w:val="center"/>
          </w:tcPr>
          <w:p>
            <w:pPr>
              <w:spacing w:before="0" w:after="0"/>
              <w:jc w:val="center"/>
            </w:pPr>
            <w:r>
              <w:rPr>
                <w:b/>
              </w:rPr>
              <w:t>Paper / Reference</w:t>
            </w:r>
          </w:p>
        </w:tc>
        <w:tc>
          <w:tcPr>
            <w:tcW w:type="dxa" w:w="1872"/>
            <w:shd w:fill="F2F2F2"/>
            <w:tcMar>
              <w:top w:w="100" w:type="dxa"/>
              <w:bottom w:w="100" w:type="dxa"/>
              <w:left w:w="140" w:type="dxa"/>
              <w:right w:w="140" w:type="dxa"/>
            </w:tcMar>
            <w:tcBorders>
              <w:top w:val="single" w:sz="4" w:space="0" w:color="D3D3D3"/>
              <w:bottom w:val="single" w:sz="4" w:space="0" w:color="D3D3D3"/>
              <w:left w:val="single" w:sz="4" w:space="0" w:color="D3D3D3"/>
              <w:right w:val="single" w:sz="4" w:space="0" w:color="D3D3D3"/>
            </w:tcBorders>
            <w:vAlign w:val="center"/>
          </w:tcPr>
          <w:p>
            <w:pPr>
              <w:spacing w:before="0" w:after="0"/>
              <w:jc w:val="center"/>
            </w:pPr>
            <w:r>
              <w:rPr>
                <w:b/>
              </w:rPr>
              <w:t>Sensors &amp; System Setup</w:t>
            </w:r>
          </w:p>
        </w:tc>
        <w:tc>
          <w:tcPr>
            <w:tcW w:type="dxa" w:w="1872"/>
            <w:shd w:fill="F2F2F2"/>
            <w:tcMar>
              <w:top w:w="100" w:type="dxa"/>
              <w:bottom w:w="100" w:type="dxa"/>
              <w:left w:w="140" w:type="dxa"/>
              <w:right w:w="140" w:type="dxa"/>
            </w:tcMar>
            <w:tcBorders>
              <w:top w:val="single" w:sz="4" w:space="0" w:color="D3D3D3"/>
              <w:bottom w:val="single" w:sz="4" w:space="0" w:color="D3D3D3"/>
              <w:left w:val="single" w:sz="4" w:space="0" w:color="D3D3D3"/>
              <w:right w:val="single" w:sz="4" w:space="0" w:color="D3D3D3"/>
            </w:tcBorders>
            <w:vAlign w:val="center"/>
          </w:tcPr>
          <w:p>
            <w:pPr>
              <w:spacing w:before="0" w:after="0"/>
              <w:jc w:val="center"/>
            </w:pPr>
            <w:r>
              <w:rPr>
                <w:b/>
              </w:rPr>
              <w:t>ML / Analytical Method</w:t>
            </w:r>
          </w:p>
        </w:tc>
        <w:tc>
          <w:tcPr>
            <w:tcW w:type="dxa" w:w="1872"/>
            <w:shd w:fill="F2F2F2"/>
            <w:tcMar>
              <w:top w:w="100" w:type="dxa"/>
              <w:bottom w:w="100" w:type="dxa"/>
              <w:left w:w="140" w:type="dxa"/>
              <w:right w:w="140" w:type="dxa"/>
            </w:tcMar>
            <w:tcBorders>
              <w:top w:val="single" w:sz="4" w:space="0" w:color="D3D3D3"/>
              <w:bottom w:val="single" w:sz="4" w:space="0" w:color="D3D3D3"/>
              <w:left w:val="single" w:sz="4" w:space="0" w:color="D3D3D3"/>
              <w:right w:val="single" w:sz="4" w:space="0" w:color="D3D3D3"/>
            </w:tcBorders>
            <w:vAlign w:val="center"/>
          </w:tcPr>
          <w:p>
            <w:pPr>
              <w:spacing w:before="0" w:after="0"/>
              <w:jc w:val="center"/>
            </w:pPr>
            <w:r>
              <w:rPr>
                <w:b/>
              </w:rPr>
              <w:t>Reported Strength / Result</w:t>
            </w:r>
          </w:p>
        </w:tc>
        <w:tc>
          <w:tcPr>
            <w:tcW w:type="dxa" w:w="2016"/>
            <w:shd w:fill="F2F2F2"/>
            <w:tcMar>
              <w:top w:w="100" w:type="dxa"/>
              <w:bottom w:w="100" w:type="dxa"/>
              <w:left w:w="140" w:type="dxa"/>
              <w:right w:w="140" w:type="dxa"/>
            </w:tcMar>
            <w:tcBorders>
              <w:top w:val="single" w:sz="4" w:space="0" w:color="D3D3D3"/>
              <w:bottom w:val="single" w:sz="4" w:space="0" w:color="D3D3D3"/>
              <w:left w:val="single" w:sz="4" w:space="0" w:color="D3D3D3"/>
              <w:right w:val="single" w:sz="4" w:space="0" w:color="D3D3D3"/>
            </w:tcBorders>
            <w:vAlign w:val="center"/>
          </w:tcPr>
          <w:p>
            <w:pPr>
              <w:spacing w:before="0" w:after="0"/>
              <w:jc w:val="center"/>
            </w:pPr>
            <w:r>
              <w:rPr>
                <w:b/>
              </w:rPr>
              <w:t>Documented Limitation &amp; Project Contrast</w:t>
            </w:r>
          </w:p>
        </w:tc>
      </w:tr>
      <w:tr>
        <w:tc>
          <w:tcPr>
            <w:tcW w:type="dxa" w:w="1728"/>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[1] Bourke et al. (2015)</w:t>
            </w:r>
          </w:p>
        </w:tc>
        <w:tc>
          <w:tcPr>
            <w:tcW w:type="dxa" w:w="187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Tri-axial accelerometer, gyroscope on waist</w:t>
            </w:r>
          </w:p>
        </w:tc>
        <w:tc>
          <w:tcPr>
            <w:tcW w:type="dxa" w:w="187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Threshold / rule-based detection</w:t>
            </w:r>
          </w:p>
        </w:tc>
        <w:tc>
          <w:tcPr>
            <w:tcW w:type="dxa" w:w="187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Practical low-latency pipeline evaluated on laboratory falls</w:t>
            </w:r>
          </w:p>
        </w:tc>
        <w:tc>
          <w:tcPr>
            <w:tcW w:type="dxa" w:w="2016"/>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Static thresholds produce high false alarms during rapid ADLs; binary fall/no-fall output only without physiological monitoring. Contrast: Evaluated an on-device 1D-CNN with learned feature representations and integrated post-fall sensor triage.</w:t>
            </w:r>
          </w:p>
        </w:tc>
      </w:tr>
      <w:tr>
        <w:tc>
          <w:tcPr>
            <w:tcW w:type="dxa" w:w="1728"/>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[3] Mastorakis et al. (2018)</w:t>
            </w:r>
          </w:p>
        </w:tc>
        <w:tc>
          <w:tcPr>
            <w:tcW w:type="dxa" w:w="187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Depth camera / optical infrared sensor (Kinect)</w:t>
            </w:r>
          </w:p>
        </w:tc>
        <w:tc>
          <w:tcPr>
            <w:tcW w:type="dxa" w:w="187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3D bounding box geometric tracking</w:t>
            </w:r>
          </w:p>
        </w:tc>
        <w:tc>
          <w:tcPr>
            <w:tcW w:type="dxa" w:w="187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Contactless indoor detection without requiring worn hardware</w:t>
            </w:r>
          </w:p>
        </w:tc>
        <w:tc>
          <w:tcPr>
            <w:tcW w:type="dxa" w:w="2016"/>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Subject to optical occlusion, restricted to instrumented rooms, and introduces significant privacy concerns in bedrooms/bathrooms. Contrast: Utilizes non-visual wearable inertial sensing to operate continuously without camera surveillance.</w:t>
            </w:r>
          </w:p>
        </w:tc>
      </w:tr>
      <w:tr>
        <w:tc>
          <w:tcPr>
            <w:tcW w:type="dxa" w:w="1728"/>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[6] Wang et al. (2023)</w:t>
            </w:r>
          </w:p>
        </w:tc>
        <w:tc>
          <w:tcPr>
            <w:tcW w:type="dxa" w:w="187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Wearable IMU smart wristband (survey)</w:t>
            </w:r>
          </w:p>
        </w:tc>
        <w:tc>
          <w:tcPr>
            <w:tcW w:type="dxa" w:w="187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Review of deep neural network architectures</w:t>
            </w:r>
          </w:p>
        </w:tc>
        <w:tc>
          <w:tcPr>
            <w:tcW w:type="dxa" w:w="187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Demonstrated theoretical accuracy gains of deep models over classical feature engineering</w:t>
            </w:r>
          </w:p>
        </w:tc>
        <w:tc>
          <w:tcPr>
            <w:tcW w:type="dxa" w:w="2016"/>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Most surveyed models have large memory footprints not optimized for integer-only microcontroller deployment. Contrast: Evaluated post-training INT8 quantization to assess on-device memory and latency viability.</w:t>
            </w:r>
          </w:p>
        </w:tc>
      </w:tr>
      <w:tr>
        <w:tc>
          <w:tcPr>
            <w:tcW w:type="dxa" w:w="1728"/>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[10] Martinez et al. (2021)</w:t>
            </w:r>
          </w:p>
        </w:tc>
        <w:tc>
          <w:tcPr>
            <w:tcW w:type="dxa" w:w="187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Wearable IMU with GPS/cellular telecare module</w:t>
            </w:r>
          </w:p>
        </w:tc>
        <w:tc>
          <w:tcPr>
            <w:tcW w:type="dxa" w:w="187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Threshold heuristics with remote cloud synchronization</w:t>
            </w:r>
          </w:p>
        </w:tc>
        <w:tc>
          <w:tcPr>
            <w:tcW w:type="dxa" w:w="187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Demonstrated outdoor alerting and remote caregiver communication</w:t>
            </w:r>
          </w:p>
        </w:tc>
        <w:tc>
          <w:tcPr>
            <w:tcW w:type="dxa" w:w="2016"/>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Lacks physiological severity classification; continuous cellular radio operation imposes significant battery drain. Contrast: Employs an event-triggered local BLE protocol that communicates telemetry only upon confirmed fall events.</w:t>
            </w:r>
          </w:p>
        </w:tc>
      </w:tr>
      <w:tr>
        <w:tc>
          <w:tcPr>
            <w:tcW w:type="dxa" w:w="1728"/>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[14] Shahzad et al. (2019)</w:t>
            </w:r>
          </w:p>
        </w:tc>
        <w:tc>
          <w:tcPr>
            <w:tcW w:type="dxa" w:w="187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Multi-axis wearable IMU</w:t>
            </w:r>
          </w:p>
        </w:tc>
        <w:tc>
          <w:tcPr>
            <w:tcW w:type="dxa" w:w="187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Context-aware heuristic state machine</w:t>
            </w:r>
          </w:p>
        </w:tc>
        <w:tc>
          <w:tcPr>
            <w:tcW w:type="dxa" w:w="187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Distinguishes high-velocity impacts from slow slumps in structured trials</w:t>
            </w:r>
          </w:p>
        </w:tc>
        <w:tc>
          <w:tcPr>
            <w:tcW w:type="dxa" w:w="2016"/>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Fixed heuristic thresholds struggle with inter-subject behavioral variability across different body masses. Contrast: Evaluates a data-driven neural network to classify motion patterns prior to kinematic severity scoring.</w:t>
            </w:r>
          </w:p>
        </w:tc>
      </w:tr>
      <w:tr>
        <w:tc>
          <w:tcPr>
            <w:tcW w:type="dxa" w:w="1728"/>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[15] Aziz et al. (2017)</w:t>
            </w:r>
          </w:p>
        </w:tc>
        <w:tc>
          <w:tcPr>
            <w:tcW w:type="dxa" w:w="187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Wearable 6-axis inertial sensors</w:t>
            </w:r>
          </w:p>
        </w:tc>
        <w:tc>
          <w:tcPr>
            <w:tcW w:type="dxa" w:w="187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Rule-based time-of-day and activity context</w:t>
            </w:r>
          </w:p>
        </w:tc>
        <w:tc>
          <w:tcPr>
            <w:tcW w:type="dxa" w:w="187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Reduced false alarm frequency during nocturnal bed transfers in a clinical cohort</w:t>
            </w:r>
          </w:p>
        </w:tc>
        <w:tc>
          <w:tcPr>
            <w:tcW w:type="dxa" w:w="2016"/>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Rule-based context models require manual parameter tuning for varying patient routines. Contrast: Employs continuous sliding-window classification without relying on static schedule assumptions.</w:t>
            </w:r>
          </w:p>
        </w:tc>
      </w:tr>
      <w:tr>
        <w:tc>
          <w:tcPr>
            <w:tcW w:type="dxa" w:w="1728"/>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[16] Rodrigues et al. (2021)</w:t>
            </w:r>
          </w:p>
        </w:tc>
        <w:tc>
          <w:tcPr>
            <w:tcW w:type="dxa" w:w="187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Wireless medical sensor networks</w:t>
            </w:r>
          </w:p>
        </w:tc>
        <w:tc>
          <w:tcPr>
            <w:tcW w:type="dxa" w:w="187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Survey of low-power wireless communication and edge protocols</w:t>
            </w:r>
          </w:p>
        </w:tc>
        <w:tc>
          <w:tcPr>
            <w:tcW w:type="dxa" w:w="187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Detailed the energy tradeoffs between continuous wireless streaming and edge inference</w:t>
            </w:r>
          </w:p>
        </w:tc>
        <w:tc>
          <w:tcPr>
            <w:tcW w:type="dxa" w:w="2016"/>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Conceptual and architectural review without physical embedded implementation data. Contrast: Implements an event-triggered BLE GATT architecture that transmits only confirmed event payloads.</w:t>
            </w:r>
          </w:p>
        </w:tc>
      </w:tr>
      <w:tr>
        <w:tc>
          <w:tcPr>
            <w:tcW w:type="dxa" w:w="1728"/>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[18] Delahoz et al. (2019)</w:t>
            </w:r>
          </w:p>
        </w:tc>
        <w:tc>
          <w:tcPr>
            <w:tcW w:type="dxa" w:w="187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Wearable inertial measurement units (survey)</w:t>
            </w:r>
          </w:p>
        </w:tc>
        <w:tc>
          <w:tcPr>
            <w:tcW w:type="dxa" w:w="187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Taxonomy of coordinate-invariant and thresholding classifiers</w:t>
            </w:r>
          </w:p>
        </w:tc>
        <w:tc>
          <w:tcPr>
            <w:tcW w:type="dxa" w:w="187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Comprehensive survey of sensor placements and orientation invariance</w:t>
            </w:r>
          </w:p>
        </w:tc>
        <w:tc>
          <w:tcPr>
            <w:tcW w:type="dxa" w:w="2016"/>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Survey only; does not provide an integrated prototype with physiological triage follow-up. Contrast: Implements and profiles a specific wearable prototype integrating IMU sensing and optical PPG.</w:t>
            </w:r>
          </w:p>
        </w:tc>
      </w:tr>
      <w:tr>
        <w:tc>
          <w:tcPr>
            <w:tcW w:type="dxa" w:w="1728"/>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[27] Wild et al. (2021)</w:t>
            </w:r>
          </w:p>
        </w:tc>
        <w:tc>
          <w:tcPr>
            <w:tcW w:type="dxa" w:w="187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Systematic digital health review (various telecare)</w:t>
            </w:r>
          </w:p>
        </w:tc>
        <w:tc>
          <w:tcPr>
            <w:tcW w:type="dxa" w:w="187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Meta-analysis of elderly fall telecare outcomes</w:t>
            </w:r>
          </w:p>
        </w:tc>
        <w:tc>
          <w:tcPr>
            <w:tcW w:type="dxa" w:w="187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Highlighted that delayed medical assistance post-fall is a major driver of hospitalization costs</w:t>
            </w:r>
          </w:p>
        </w:tc>
        <w:tc>
          <w:tcPr>
            <w:tcW w:type="dxa" w:w="2016"/>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Systematic review only; confirms that commercial systems remain either cost-prohibitive or lack physiological triage. Contrast: Designs an open, low-cost wearable architecture incorporating physiological vitals triage.</w:t>
            </w:r>
          </w:p>
        </w:tc>
      </w:tr>
      <w:tr>
        <w:tc>
          <w:tcPr>
            <w:tcW w:type="dxa" w:w="1728"/>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[30] Vilarinho et al. (2015)</w:t>
            </w:r>
          </w:p>
        </w:tc>
        <w:tc>
          <w:tcPr>
            <w:tcW w:type="dxa" w:w="187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Wearable inertial sensing platform</w:t>
            </w:r>
          </w:p>
        </w:tc>
        <w:tc>
          <w:tcPr>
            <w:tcW w:type="dxa" w:w="187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Two-tier thresholding + Decision Tree classifier</w:t>
            </w:r>
          </w:p>
        </w:tc>
        <w:tc>
          <w:tcPr>
            <w:tcW w:type="dxa" w:w="187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Reduced processor wake time through two-tier threshold filtering</w:t>
            </w:r>
          </w:p>
        </w:tc>
        <w:tc>
          <w:tcPr>
            <w:tcW w:type="dxa" w:w="2016"/>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Lacks physiological severity classification and mobile caregiver interface. Contrast: Combines TinyML classification with kinematic severity grading and a companion web dashboard.</w:t>
            </w:r>
          </w:p>
        </w:tc>
      </w:tr>
    </w:tbl>
    <w:p>
      <w:pPr>
        <w:spacing w:after="120"/>
      </w:pPr>
    </w:p>
    <w:p>
      <w:pPr>
        <w:spacing w:after="120" w:line="276" w:lineRule="auto"/>
      </w:pPr>
      <w:r>
        <w:rPr>
          <w:b/>
        </w:rPr>
        <w:t xml:space="preserve">Identified Gap &amp; Specialization: </w:t>
      </w:r>
      <w:r>
        <w:t>Research Gap Summary: The surveyed literature demonstrates mature progress in binary fall classification, but reveals limited integration of on-device TinyML inference, multi-axis kinematic severity assessment, and event-driven physiological telemetry on resource-constrained microcontrollers. In my role focusing on Firmware, BLE Communication and IoT Dashboard, I specifically targeted the implementation and evaluation of the Firmware, Bluetooth LE &amp; IoT Telemetry Subsystem.</w:t>
      </w:r>
    </w:p>
    <w:p>
      <w:pPr>
        <w:keepNext/>
        <w:spacing w:before="320" w:after="80"/>
      </w:pPr>
      <w:r>
        <w:rPr>
          <w:b/>
          <w:sz w:val="30"/>
        </w:rPr>
        <w:t>3. Methodology</w:t>
      </w:r>
    </w:p>
    <w:p>
      <w:pPr>
        <w:spacing w:after="120" w:line="276" w:lineRule="auto"/>
      </w:pPr>
      <w:r>
        <w:t>From an embedded firmware and real-time operating system (RTOS) design perspective, the operational methodology is structured across five concurrent, multi-threaded FreeRTOS tasks to guarantee zero sampling jitter and robust communication:</w:t>
      </w:r>
    </w:p>
    <w:p>
      <w:pPr>
        <w:pStyle w:val="ListBullet"/>
        <w:spacing w:after="60" w:line="276" w:lineRule="auto"/>
      </w:pPr>
      <w:r>
        <w:rPr>
          <w:b/>
        </w:rPr>
        <w:t xml:space="preserve">Stage 1 — Inertial Acquisition &amp; Preprocessing: </w:t>
      </w:r>
      <w:r>
        <w:t>Task_IMU_Acquisition executes deterministically on ESP32-S3 Core 0 at a priority of 5, triggered by a hardware timer interrupt every 20.0 ms (50 Hz). Raw 6-axis sensor registers are read via I2C with non-blocking mutex locks and buffered into a circular FIFO queue.</w:t>
      </w:r>
    </w:p>
    <w:p>
      <w:pPr>
        <w:pStyle w:val="ListBullet"/>
        <w:spacing w:after="60" w:line="276" w:lineRule="auto"/>
      </w:pPr>
      <w:r>
        <w:rPr>
          <w:b/>
        </w:rPr>
        <w:t xml:space="preserve">Stage 2 — On-Device TinyML Inference: </w:t>
      </w:r>
      <w:r>
        <w:t>Task_TinyML_Inference executes on Core 1, pulling standardized 256-sample window tensors and invoking the TensorFlow Lite for Microcontrollers interpreter every 128 samples (2.56 seconds), outputting softmax probabilities across Class 0 (ADL), Class 1 (Pre-Fall), and Class 2 (Fall).</w:t>
      </w:r>
    </w:p>
    <w:p>
      <w:pPr>
        <w:pStyle w:val="ListBullet"/>
        <w:spacing w:after="60" w:line="276" w:lineRule="auto"/>
      </w:pPr>
      <w:r>
        <w:rPr>
          <w:b/>
        </w:rPr>
        <w:t xml:space="preserve">Stage 3 — Sensor-Derived Severity Grading: </w:t>
      </w:r>
      <w:r>
        <w:t>If Class 2 is confirmed with probability &gt; 0.50, the firmware invokes the kinematic severity algorithm, calculating the severity index: Severity = 0.5 * min(A_peak / 3.0, 1.0) + 0.3 * min(Omega_peak / 5.0, 1.0) + 0.2 * (1.0 / (1.0 + 50.0 * Var_immobility)), categorizing the event into Mild, Moderate, or Severe.</w:t>
      </w:r>
    </w:p>
    <w:p>
      <w:pPr>
        <w:pStyle w:val="ListBullet"/>
        <w:spacing w:after="60" w:line="276" w:lineRule="auto"/>
      </w:pPr>
      <w:r>
        <w:rPr>
          <w:b/>
        </w:rPr>
        <w:t xml:space="preserve">Stage 4 — Event-Triggered Physiological Triage: </w:t>
      </w:r>
      <w:r>
        <w:t>Task_PPG_Processing is signaled via a FreeRTOS event group. It enforces a 2.5-second stabilization delay post-impact, then samples Red and Infrared channels at 100 Hz, applying a 4th-order digital Butterworth bandpass filter (0.5–4.0 Hz) and peak-to-peak ratio-of-ratios analysis to compute heart rate (BPM) and blood oxygen saturation (SpO₂).</w:t>
      </w:r>
    </w:p>
    <w:p>
      <w:pPr>
        <w:pStyle w:val="ListBullet"/>
        <w:spacing w:after="60" w:line="276" w:lineRule="auto"/>
      </w:pPr>
      <w:r>
        <w:rPr>
          <w:b/>
        </w:rPr>
        <w:t xml:space="preserve">Stage 5 — Telemetry &amp; Alarm Broadcast: </w:t>
      </w:r>
      <w:r>
        <w:t>Task_BLE_Server updates the custom GATT characteristics of the Medical Fall Service (UUID 0xFFE0), pushing priority emergency notifications to the connected Caregiver Web Dashboard while triggering local alert peripherals.</w:t>
      </w:r>
    </w:p>
    <w:p>
      <w:pPr>
        <w:keepNext/>
        <w:spacing w:before="320" w:after="80"/>
      </w:pPr>
      <w:r>
        <w:rPr>
          <w:b/>
          <w:sz w:val="30"/>
        </w:rPr>
        <w:t>4. Implementation and Prototype</w:t>
      </w:r>
    </w:p>
    <w:p>
      <w:pPr>
        <w:spacing w:after="120" w:line="276" w:lineRule="auto"/>
      </w:pPr>
      <w:r>
        <w:t>From the firmware engineering and telemetry implementation standpoint, the prototype is governed by a modular FreeRTOS codebase engineered in C/C++ using the ESP-IDF framework, coupled with an interactive web telemetry client:</w:t>
      </w:r>
    </w:p>
    <w:p>
      <w:pPr>
        <w:pStyle w:val="ListBullet"/>
        <w:spacing w:after="60" w:line="276" w:lineRule="auto"/>
      </w:pPr>
      <w:r>
        <w:rPr>
          <w:b/>
        </w:rPr>
        <w:t xml:space="preserve">Core Processing Subsystem: </w:t>
      </w:r>
      <w:r>
        <w:t>Firmware Core Architecture: Configured under FreeRTOS with symmetric multiprocessing (SMP). Sensor polling and DMA buffer management are pinned to Core 0, while TFLite Micro inference, digital signal processing, and the BLE stack run on Core 1, completely preventing thread starvation.</w:t>
      </w:r>
    </w:p>
    <w:p>
      <w:pPr>
        <w:pStyle w:val="ListBullet"/>
        <w:spacing w:after="60" w:line="276" w:lineRule="auto"/>
      </w:pPr>
      <w:r>
        <w:rPr>
          <w:b/>
        </w:rPr>
        <w:t xml:space="preserve">Kinematic Sensing Subsystem: </w:t>
      </w:r>
      <w:r>
        <w:t>Sensor Communication Drivers: Engineered robust, interrupt-driven I2C master drivers operating at 400 kHz with an automated bus recovery state machine that toggles SCL up to 9 times upon detecting a stuck SDA condition, ensuring uninterrupted sensor streaming.</w:t>
      </w:r>
    </w:p>
    <w:p>
      <w:pPr>
        <w:pStyle w:val="ListBullet"/>
        <w:spacing w:after="60" w:line="276" w:lineRule="auto"/>
      </w:pPr>
      <w:r>
        <w:rPr>
          <w:b/>
        </w:rPr>
        <w:t xml:space="preserve">Biomedical Sensing Subsystem: </w:t>
      </w:r>
      <w:r>
        <w:t>Biomedical DSP Engine: Implemented an embedded optical filter pipeline consisting of a 4th-order digital Butterworth bandpass filter (cutoffs at 0.5 Hz and 4.0 Hz, matching 30–240 BPM physiological range) and a derivative-based peak detector, coupled with a ratio-of-ratios SpO2 estimator.</w:t>
      </w:r>
    </w:p>
    <w:p>
      <w:pPr>
        <w:pStyle w:val="ListBullet"/>
        <w:spacing w:after="60" w:line="276" w:lineRule="auto"/>
      </w:pPr>
      <w:r>
        <w:rPr>
          <w:b/>
        </w:rPr>
        <w:t xml:space="preserve">Power &amp; Energy Subsystem: </w:t>
      </w:r>
      <w:r>
        <w:t>Bluetooth LE 5.0 GATT Server: Implemented a custom GATT profile exposing a primary Medical Fall Service (UUID 0xFFE0) with characteristics for Fall Event State (Notify), Severity Score (Read/Notify), Heart Rate BPM (Notify), and SpO2 Percentage (Notify), achieving 1.2-second transmission latency.</w:t>
      </w:r>
    </w:p>
    <w:p>
      <w:pPr>
        <w:pStyle w:val="ListBullet"/>
        <w:spacing w:after="60" w:line="276" w:lineRule="auto"/>
      </w:pPr>
      <w:r>
        <w:rPr>
          <w:b/>
        </w:rPr>
        <w:t xml:space="preserve">Enclosure &amp; User Interface: </w:t>
      </w:r>
      <w:r>
        <w:t>Caregiver Web Dashboard: Developed a responsive web application (HTML5, CSS3, JavaScript, Web Bluetooth API) featuring visual triage alert banners (Green Mild, Yellow Moderate, Red Urgent), real-time vitals graphs, audio siren alarms, and an emergency event audit log.</w:t>
      </w:r>
    </w:p>
    <w:p>
      <w:pPr>
        <w:keepNext/>
        <w:spacing w:before="320" w:after="80"/>
      </w:pPr>
      <w:r>
        <w:rPr>
          <w:b/>
          <w:sz w:val="30"/>
        </w:rPr>
        <w:t>5. Testing Methodology and Results</w:t>
      </w:r>
    </w:p>
    <w:p>
      <w:pPr>
        <w:spacing w:after="120" w:line="276" w:lineRule="auto"/>
      </w:pPr>
      <w:r>
        <w:t>The evaluation was conducted on the SisFall dataset. A total of 116,988 windows were formed using a 256-sample window (5.12 seconds at 50 Hz) with 50% overlap. The dataset was partitioned into 77,871 training windows (~66.6%), 20,233 validation windows (~17.3%), and 18,884 held-out test windows (~16.1%).</w:t>
      </w:r>
    </w:p>
    <w:p>
      <w:pPr>
        <w:spacing w:after="120" w:line="276" w:lineRule="auto"/>
      </w:pPr>
      <w:r>
        <w:rPr>
          <w:b/>
        </w:rPr>
        <w:t xml:space="preserve">Test Set Composition: </w:t>
      </w:r>
      <w:r>
        <w:t>Class Distribution in Held-Out Test Set: Class 0 (ADL) = 18,180 windows (96.27%); Class 1 (Pre-Fall balance loss) = 157 windows (0.83%); Class 2 (Fall impact) = 547 windows (2.90%). Total test samples = 18,884.</w:t>
      </w:r>
    </w:p>
    <w:p>
      <w:pPr>
        <w:spacing w:after="120" w:line="276" w:lineRule="auto"/>
      </w:pPr>
      <w:r>
        <w:rPr>
          <w:b/>
        </w:rPr>
        <w:t xml:space="preserve">Important Evaluation Note: </w:t>
      </w:r>
      <w:r>
        <w:t>Methodological Disclosure on Splitting: The current evaluation split was partitioned across the preprocessed window collection. Because windows were generated with a 50% overlap, adjacent windows from the same recording session may appear across training and test splits, presenting a potential inter-window correlation risk. A subject-independent (Leave-One-Subject-Out) validation is identified as necessary future work to measure absolute generalizability across unseen individuals.</w:t>
      </w:r>
    </w:p>
    <w:p>
      <w:pPr>
        <w:spacing w:after="120" w:line="276" w:lineRule="auto"/>
      </w:pPr>
      <w:r>
        <w:t>From the firmware testing and communication verification perspective, system evaluation focused on FreeRTOS task timing jitter, I2C driver throughput, optical PPG filter accuracy, and end-to-end BLE notification latency:</w:t>
      </w:r>
    </w:p>
    <w:tbl>
      <w:tblPr>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2592"/>
            <w:shd w:fill="F2F2F2"/>
            <w:tcMar>
              <w:top w:w="100" w:type="dxa"/>
              <w:bottom w:w="100" w:type="dxa"/>
              <w:left w:w="140" w:type="dxa"/>
              <w:right w:w="140" w:type="dxa"/>
            </w:tcMar>
            <w:tcBorders>
              <w:top w:val="single" w:sz="4" w:space="0" w:color="D3D3D3"/>
              <w:bottom w:val="single" w:sz="4" w:space="0" w:color="D3D3D3"/>
              <w:left w:val="single" w:sz="4" w:space="0" w:color="D3D3D3"/>
              <w:right w:val="single" w:sz="4" w:space="0" w:color="D3D3D3"/>
            </w:tcBorders>
            <w:vAlign w:val="center"/>
          </w:tcPr>
          <w:p>
            <w:pPr>
              <w:spacing w:before="0" w:after="0"/>
              <w:jc w:val="center"/>
            </w:pPr>
            <w:r>
              <w:rPr>
                <w:b/>
              </w:rPr>
              <w:t>Model Architecture</w:t>
            </w:r>
          </w:p>
        </w:tc>
        <w:tc>
          <w:tcPr>
            <w:tcW w:type="dxa" w:w="1152"/>
            <w:shd w:fill="F2F2F2"/>
            <w:tcMar>
              <w:top w:w="100" w:type="dxa"/>
              <w:bottom w:w="100" w:type="dxa"/>
              <w:left w:w="140" w:type="dxa"/>
              <w:right w:w="140" w:type="dxa"/>
            </w:tcMar>
            <w:tcBorders>
              <w:top w:val="single" w:sz="4" w:space="0" w:color="D3D3D3"/>
              <w:bottom w:val="single" w:sz="4" w:space="0" w:color="D3D3D3"/>
              <w:left w:val="single" w:sz="4" w:space="0" w:color="D3D3D3"/>
              <w:right w:val="single" w:sz="4" w:space="0" w:color="D3D3D3"/>
            </w:tcBorders>
            <w:vAlign w:val="center"/>
          </w:tcPr>
          <w:p>
            <w:pPr>
              <w:spacing w:before="0" w:after="0"/>
              <w:jc w:val="center"/>
            </w:pPr>
            <w:r>
              <w:rPr>
                <w:b/>
              </w:rPr>
              <w:t>Overall Accuracy</w:t>
            </w:r>
          </w:p>
        </w:tc>
        <w:tc>
          <w:tcPr>
            <w:tcW w:type="dxa" w:w="1152"/>
            <w:shd w:fill="F2F2F2"/>
            <w:tcMar>
              <w:top w:w="100" w:type="dxa"/>
              <w:bottom w:w="100" w:type="dxa"/>
              <w:left w:w="140" w:type="dxa"/>
              <w:right w:w="140" w:type="dxa"/>
            </w:tcMar>
            <w:tcBorders>
              <w:top w:val="single" w:sz="4" w:space="0" w:color="D3D3D3"/>
              <w:bottom w:val="single" w:sz="4" w:space="0" w:color="D3D3D3"/>
              <w:left w:val="single" w:sz="4" w:space="0" w:color="D3D3D3"/>
              <w:right w:val="single" w:sz="4" w:space="0" w:color="D3D3D3"/>
            </w:tcBorders>
            <w:vAlign w:val="center"/>
          </w:tcPr>
          <w:p>
            <w:pPr>
              <w:spacing w:before="0" w:after="0"/>
              <w:jc w:val="center"/>
            </w:pPr>
            <w:r>
              <w:rPr>
                <w:b/>
              </w:rPr>
              <w:t>Fall Sensitivity</w:t>
            </w:r>
          </w:p>
        </w:tc>
        <w:tc>
          <w:tcPr>
            <w:tcW w:type="dxa" w:w="1152"/>
            <w:shd w:fill="F2F2F2"/>
            <w:tcMar>
              <w:top w:w="100" w:type="dxa"/>
              <w:bottom w:w="100" w:type="dxa"/>
              <w:left w:w="140" w:type="dxa"/>
              <w:right w:w="140" w:type="dxa"/>
            </w:tcMar>
            <w:tcBorders>
              <w:top w:val="single" w:sz="4" w:space="0" w:color="D3D3D3"/>
              <w:bottom w:val="single" w:sz="4" w:space="0" w:color="D3D3D3"/>
              <w:left w:val="single" w:sz="4" w:space="0" w:color="D3D3D3"/>
              <w:right w:val="single" w:sz="4" w:space="0" w:color="D3D3D3"/>
            </w:tcBorders>
            <w:vAlign w:val="center"/>
          </w:tcPr>
          <w:p>
            <w:pPr>
              <w:spacing w:before="0" w:after="0"/>
              <w:jc w:val="center"/>
            </w:pPr>
            <w:r>
              <w:rPr>
                <w:b/>
              </w:rPr>
              <w:t>Fall Precision</w:t>
            </w:r>
          </w:p>
        </w:tc>
        <w:tc>
          <w:tcPr>
            <w:tcW w:type="dxa" w:w="1152"/>
            <w:shd w:fill="F2F2F2"/>
            <w:tcMar>
              <w:top w:w="100" w:type="dxa"/>
              <w:bottom w:w="100" w:type="dxa"/>
              <w:left w:w="140" w:type="dxa"/>
              <w:right w:w="140" w:type="dxa"/>
            </w:tcMar>
            <w:tcBorders>
              <w:top w:val="single" w:sz="4" w:space="0" w:color="D3D3D3"/>
              <w:bottom w:val="single" w:sz="4" w:space="0" w:color="D3D3D3"/>
              <w:left w:val="single" w:sz="4" w:space="0" w:color="D3D3D3"/>
              <w:right w:val="single" w:sz="4" w:space="0" w:color="D3D3D3"/>
            </w:tcBorders>
            <w:vAlign w:val="center"/>
          </w:tcPr>
          <w:p>
            <w:pPr>
              <w:spacing w:before="0" w:after="0"/>
              <w:jc w:val="center"/>
            </w:pPr>
            <w:r>
              <w:rPr>
                <w:b/>
              </w:rPr>
              <w:t>Fall Specificity</w:t>
            </w:r>
          </w:p>
        </w:tc>
        <w:tc>
          <w:tcPr>
            <w:tcW w:type="dxa" w:w="1152"/>
            <w:shd w:fill="F2F2F2"/>
            <w:tcMar>
              <w:top w:w="100" w:type="dxa"/>
              <w:bottom w:w="100" w:type="dxa"/>
              <w:left w:w="140" w:type="dxa"/>
              <w:right w:w="140" w:type="dxa"/>
            </w:tcMar>
            <w:tcBorders>
              <w:top w:val="single" w:sz="4" w:space="0" w:color="D3D3D3"/>
              <w:bottom w:val="single" w:sz="4" w:space="0" w:color="D3D3D3"/>
              <w:left w:val="single" w:sz="4" w:space="0" w:color="D3D3D3"/>
              <w:right w:val="single" w:sz="4" w:space="0" w:color="D3D3D3"/>
            </w:tcBorders>
            <w:vAlign w:val="center"/>
          </w:tcPr>
          <w:p>
            <w:pPr>
              <w:spacing w:before="0" w:after="0"/>
              <w:jc w:val="center"/>
            </w:pPr>
            <w:r>
              <w:rPr>
                <w:b/>
              </w:rPr>
              <w:t>Fall F1-Score</w:t>
            </w:r>
          </w:p>
        </w:tc>
        <w:tc>
          <w:tcPr>
            <w:tcW w:type="dxa" w:w="1008"/>
            <w:shd w:fill="F2F2F2"/>
            <w:tcMar>
              <w:top w:w="100" w:type="dxa"/>
              <w:bottom w:w="100" w:type="dxa"/>
              <w:left w:w="140" w:type="dxa"/>
              <w:right w:w="140" w:type="dxa"/>
            </w:tcMar>
            <w:tcBorders>
              <w:top w:val="single" w:sz="4" w:space="0" w:color="D3D3D3"/>
              <w:bottom w:val="single" w:sz="4" w:space="0" w:color="D3D3D3"/>
              <w:left w:val="single" w:sz="4" w:space="0" w:color="D3D3D3"/>
              <w:right w:val="single" w:sz="4" w:space="0" w:color="D3D3D3"/>
            </w:tcBorders>
            <w:vAlign w:val="center"/>
          </w:tcPr>
          <w:p>
            <w:pPr>
              <w:spacing w:before="0" w:after="0"/>
              <w:jc w:val="center"/>
            </w:pPr>
            <w:r>
              <w:rPr>
                <w:b/>
              </w:rPr>
              <w:t>Matthews Corr (MCC)</w:t>
            </w:r>
          </w:p>
        </w:tc>
      </w:tr>
      <w:tr>
        <w:tc>
          <w:tcPr>
            <w:tcW w:type="dxa" w:w="259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Random Forest (Handcrafted 64-Features)</w:t>
            </w:r>
          </w:p>
        </w:tc>
        <w:tc>
          <w:tcPr>
            <w:tcW w:type="dxa" w:w="115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96.22%</w:t>
            </w:r>
          </w:p>
        </w:tc>
        <w:tc>
          <w:tcPr>
            <w:tcW w:type="dxa" w:w="115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96.53%</w:t>
            </w:r>
          </w:p>
        </w:tc>
        <w:tc>
          <w:tcPr>
            <w:tcW w:type="dxa" w:w="115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73.54%</w:t>
            </w:r>
          </w:p>
        </w:tc>
        <w:tc>
          <w:tcPr>
            <w:tcW w:type="dxa" w:w="115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98.96%</w:t>
            </w:r>
          </w:p>
        </w:tc>
        <w:tc>
          <w:tcPr>
            <w:tcW w:type="dxa" w:w="115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0.8348</w:t>
            </w:r>
          </w:p>
        </w:tc>
        <w:tc>
          <w:tcPr>
            <w:tcW w:type="dxa" w:w="1008"/>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0.8374</w:t>
            </w:r>
          </w:p>
        </w:tc>
      </w:tr>
      <w:tr>
        <w:tc>
          <w:tcPr>
            <w:tcW w:type="dxa" w:w="259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HistGradientBoosting (LightGBM-class)</w:t>
            </w:r>
          </w:p>
        </w:tc>
        <w:tc>
          <w:tcPr>
            <w:tcW w:type="dxa" w:w="115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98.32%</w:t>
            </w:r>
          </w:p>
        </w:tc>
        <w:tc>
          <w:tcPr>
            <w:tcW w:type="dxa" w:w="115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87.39%</w:t>
            </w:r>
          </w:p>
        </w:tc>
        <w:tc>
          <w:tcPr>
            <w:tcW w:type="dxa" w:w="115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90.53%</w:t>
            </w:r>
          </w:p>
        </w:tc>
        <w:tc>
          <w:tcPr>
            <w:tcW w:type="dxa" w:w="115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99.73%</w:t>
            </w:r>
          </w:p>
        </w:tc>
        <w:tc>
          <w:tcPr>
            <w:tcW w:type="dxa" w:w="115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0.8893</w:t>
            </w:r>
          </w:p>
        </w:tc>
        <w:tc>
          <w:tcPr>
            <w:tcW w:type="dxa" w:w="1008"/>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0.8862</w:t>
            </w:r>
          </w:p>
        </w:tc>
      </w:tr>
      <w:tr>
        <w:tc>
          <w:tcPr>
            <w:tcW w:type="dxa" w:w="259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Standard 1D-CNN (Sequential 3-Layer)</w:t>
            </w:r>
          </w:p>
        </w:tc>
        <w:tc>
          <w:tcPr>
            <w:tcW w:type="dxa" w:w="115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97.17%</w:t>
            </w:r>
          </w:p>
        </w:tc>
        <w:tc>
          <w:tcPr>
            <w:tcW w:type="dxa" w:w="115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94.33%</w:t>
            </w:r>
          </w:p>
        </w:tc>
        <w:tc>
          <w:tcPr>
            <w:tcW w:type="dxa" w:w="115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80.50%</w:t>
            </w:r>
          </w:p>
        </w:tc>
        <w:tc>
          <w:tcPr>
            <w:tcW w:type="dxa" w:w="115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99.32%</w:t>
            </w:r>
          </w:p>
        </w:tc>
        <w:tc>
          <w:tcPr>
            <w:tcW w:type="dxa" w:w="115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0.8687</w:t>
            </w:r>
          </w:p>
        </w:tc>
        <w:tc>
          <w:tcPr>
            <w:tcW w:type="dxa" w:w="1008"/>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0.8673</w:t>
            </w:r>
          </w:p>
        </w:tc>
      </w:tr>
      <w:tr>
        <w:tc>
          <w:tcPr>
            <w:tcW w:type="dxa" w:w="259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CNN-LSTM Hybrid (Spatial-Temporal)</w:t>
            </w:r>
          </w:p>
        </w:tc>
        <w:tc>
          <w:tcPr>
            <w:tcW w:type="dxa" w:w="115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95.24%</w:t>
            </w:r>
          </w:p>
        </w:tc>
        <w:tc>
          <w:tcPr>
            <w:tcW w:type="dxa" w:w="115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95.61%</w:t>
            </w:r>
          </w:p>
        </w:tc>
        <w:tc>
          <w:tcPr>
            <w:tcW w:type="dxa" w:w="115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68.82%</w:t>
            </w:r>
          </w:p>
        </w:tc>
        <w:tc>
          <w:tcPr>
            <w:tcW w:type="dxa" w:w="115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98.71%</w:t>
            </w:r>
          </w:p>
        </w:tc>
        <w:tc>
          <w:tcPr>
            <w:tcW w:type="dxa" w:w="115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0.8003</w:t>
            </w:r>
          </w:p>
        </w:tc>
        <w:tc>
          <w:tcPr>
            <w:tcW w:type="dxa" w:w="1008"/>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0.8049</w:t>
            </w:r>
          </w:p>
        </w:tc>
      </w:tr>
      <w:tr>
        <w:tc>
          <w:tcPr>
            <w:tcW w:type="dxa" w:w="259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Proposed TinyFallNet (SE-ResCNN)</w:t>
            </w:r>
          </w:p>
        </w:tc>
        <w:tc>
          <w:tcPr>
            <w:tcW w:type="dxa" w:w="115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97.45%</w:t>
            </w:r>
          </w:p>
        </w:tc>
        <w:tc>
          <w:tcPr>
            <w:tcW w:type="dxa" w:w="115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95.80%</w:t>
            </w:r>
          </w:p>
        </w:tc>
        <w:tc>
          <w:tcPr>
            <w:tcW w:type="dxa" w:w="115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84.65%</w:t>
            </w:r>
          </w:p>
        </w:tc>
        <w:tc>
          <w:tcPr>
            <w:tcW w:type="dxa" w:w="115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99.48%</w:t>
            </w:r>
          </w:p>
        </w:tc>
        <w:tc>
          <w:tcPr>
            <w:tcW w:type="dxa" w:w="115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0.8988</w:t>
            </w:r>
          </w:p>
        </w:tc>
        <w:tc>
          <w:tcPr>
            <w:tcW w:type="dxa" w:w="1008"/>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0.8974</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0F4F8"/>
            <w:tcMar>
              <w:top w:w="120" w:type="dxa"/>
              <w:bottom w:w="120" w:type="dxa"/>
              <w:left w:w="160" w:type="dxa"/>
              <w:right w:w="160" w:type="dxa"/>
            </w:tcMar>
            <w:tcBorders>
              <w:left w:val="single" w:sz="18" w:space="0" w:color="1B365D"/>
              <w:top w:val="none"/>
              <w:right w:val="none"/>
              <w:bottom w:val="none"/>
            </w:tcBorders>
          </w:tcPr>
          <w:p>
            <w:pPr>
              <w:spacing w:before="0" w:after="0"/>
            </w:pPr>
            <w:r>
              <w:rPr>
                <w:b/>
              </w:rPr>
              <w:t xml:space="preserve">[SELECTION RATIONALE: TINYFALLNET VS. HISTGRADIENTBOOSTING] </w:t>
            </w:r>
            <w:r>
              <w:t>Although HistGradientBoosting reports the highest overall accuracy (98.32% vs. 97.45%), it exhibits a lower fall-class sensitivity (87.39%, missing 69 out of 547 test falls) because it prioritizes the majority ADL class (96.27% of data). In clinical fall detection, missed falls are high-severity errors. TinyFallNet achieves a substantially higher fall sensitivity (95.80%, missing only 23 test falls) and the highest Fall F1-score (0.8988) and MCC (0.8974). Furthermore, TinyFallNet requires only 20.48 KB in INT8 format, making it well suited for embedded MCU execution.</w:t>
            </w:r>
          </w:p>
        </w:tc>
      </w:tr>
    </w:tbl>
    <w:p>
      <w:pPr>
        <w:spacing w:after="80"/>
      </w:pP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2592"/>
            <w:shd w:fill="F2F2F2"/>
            <w:tcMar>
              <w:top w:w="100" w:type="dxa"/>
              <w:bottom w:w="100" w:type="dxa"/>
              <w:left w:w="140" w:type="dxa"/>
              <w:right w:w="140" w:type="dxa"/>
            </w:tcMar>
            <w:tcBorders>
              <w:top w:val="single" w:sz="4" w:space="0" w:color="D3D3D3"/>
              <w:bottom w:val="single" w:sz="4" w:space="0" w:color="D3D3D3"/>
              <w:left w:val="single" w:sz="4" w:space="0" w:color="D3D3D3"/>
              <w:right w:val="single" w:sz="4" w:space="0" w:color="D3D3D3"/>
            </w:tcBorders>
            <w:vAlign w:val="center"/>
          </w:tcPr>
          <w:p>
            <w:pPr>
              <w:spacing w:before="0" w:after="0"/>
              <w:jc w:val="center"/>
            </w:pPr>
            <w:r>
              <w:rPr>
                <w:b/>
              </w:rPr>
              <w:t>Model</w:t>
            </w:r>
          </w:p>
        </w:tc>
        <w:tc>
          <w:tcPr>
            <w:tcW w:type="dxa" w:w="1296"/>
            <w:shd w:fill="F2F2F2"/>
            <w:tcMar>
              <w:top w:w="100" w:type="dxa"/>
              <w:bottom w:w="100" w:type="dxa"/>
              <w:left w:w="140" w:type="dxa"/>
              <w:right w:w="140" w:type="dxa"/>
            </w:tcMar>
            <w:tcBorders>
              <w:top w:val="single" w:sz="4" w:space="0" w:color="D3D3D3"/>
              <w:bottom w:val="single" w:sz="4" w:space="0" w:color="D3D3D3"/>
              <w:left w:val="single" w:sz="4" w:space="0" w:color="D3D3D3"/>
              <w:right w:val="single" w:sz="4" w:space="0" w:color="D3D3D3"/>
            </w:tcBorders>
            <w:vAlign w:val="center"/>
          </w:tcPr>
          <w:p>
            <w:pPr>
              <w:spacing w:before="0" w:after="0"/>
              <w:jc w:val="center"/>
            </w:pPr>
            <w:r>
              <w:rPr>
                <w:b/>
              </w:rPr>
              <w:t>Parameters</w:t>
            </w:r>
          </w:p>
        </w:tc>
        <w:tc>
          <w:tcPr>
            <w:tcW w:type="dxa" w:w="1296"/>
            <w:shd w:fill="F2F2F2"/>
            <w:tcMar>
              <w:top w:w="100" w:type="dxa"/>
              <w:bottom w:w="100" w:type="dxa"/>
              <w:left w:w="140" w:type="dxa"/>
              <w:right w:w="140" w:type="dxa"/>
            </w:tcMar>
            <w:tcBorders>
              <w:top w:val="single" w:sz="4" w:space="0" w:color="D3D3D3"/>
              <w:bottom w:val="single" w:sz="4" w:space="0" w:color="D3D3D3"/>
              <w:left w:val="single" w:sz="4" w:space="0" w:color="D3D3D3"/>
              <w:right w:val="single" w:sz="4" w:space="0" w:color="D3D3D3"/>
            </w:tcBorders>
            <w:vAlign w:val="center"/>
          </w:tcPr>
          <w:p>
            <w:pPr>
              <w:spacing w:before="0" w:after="0"/>
              <w:jc w:val="center"/>
            </w:pPr>
            <w:r>
              <w:rPr>
                <w:b/>
              </w:rPr>
              <w:t>INT8 Size</w:t>
            </w:r>
          </w:p>
        </w:tc>
        <w:tc>
          <w:tcPr>
            <w:tcW w:type="dxa" w:w="1584"/>
            <w:shd w:fill="F2F2F2"/>
            <w:tcMar>
              <w:top w:w="100" w:type="dxa"/>
              <w:bottom w:w="100" w:type="dxa"/>
              <w:left w:w="140" w:type="dxa"/>
              <w:right w:w="140" w:type="dxa"/>
            </w:tcMar>
            <w:tcBorders>
              <w:top w:val="single" w:sz="4" w:space="0" w:color="D3D3D3"/>
              <w:bottom w:val="single" w:sz="4" w:space="0" w:color="D3D3D3"/>
              <w:left w:val="single" w:sz="4" w:space="0" w:color="D3D3D3"/>
              <w:right w:val="single" w:sz="4" w:space="0" w:color="D3D3D3"/>
            </w:tcBorders>
            <w:vAlign w:val="center"/>
          </w:tcPr>
          <w:p>
            <w:pPr>
              <w:spacing w:before="0" w:after="0"/>
              <w:jc w:val="center"/>
            </w:pPr>
            <w:r>
              <w:rPr>
                <w:b/>
              </w:rPr>
              <w:t>Latency (CPU Profile)</w:t>
            </w:r>
          </w:p>
        </w:tc>
        <w:tc>
          <w:tcPr>
            <w:tcW w:type="dxa" w:w="1296"/>
            <w:shd w:fill="F2F2F2"/>
            <w:tcMar>
              <w:top w:w="100" w:type="dxa"/>
              <w:bottom w:w="100" w:type="dxa"/>
              <w:left w:w="140" w:type="dxa"/>
              <w:right w:w="140" w:type="dxa"/>
            </w:tcMar>
            <w:tcBorders>
              <w:top w:val="single" w:sz="4" w:space="0" w:color="D3D3D3"/>
              <w:bottom w:val="single" w:sz="4" w:space="0" w:color="D3D3D3"/>
              <w:left w:val="single" w:sz="4" w:space="0" w:color="D3D3D3"/>
              <w:right w:val="single" w:sz="4" w:space="0" w:color="D3D3D3"/>
            </w:tcBorders>
            <w:vAlign w:val="center"/>
          </w:tcPr>
          <w:p>
            <w:pPr>
              <w:spacing w:before="0" w:after="0"/>
              <w:jc w:val="center"/>
            </w:pPr>
            <w:r>
              <w:rPr>
                <w:b/>
              </w:rPr>
              <w:t>Throughput</w:t>
            </w:r>
          </w:p>
        </w:tc>
        <w:tc>
          <w:tcPr>
            <w:tcW w:type="dxa" w:w="1296"/>
            <w:shd w:fill="F2F2F2"/>
            <w:tcMar>
              <w:top w:w="100" w:type="dxa"/>
              <w:bottom w:w="100" w:type="dxa"/>
              <w:left w:w="140" w:type="dxa"/>
              <w:right w:w="140" w:type="dxa"/>
            </w:tcMar>
            <w:tcBorders>
              <w:top w:val="single" w:sz="4" w:space="0" w:color="D3D3D3"/>
              <w:bottom w:val="single" w:sz="4" w:space="0" w:color="D3D3D3"/>
              <w:left w:val="single" w:sz="4" w:space="0" w:color="D3D3D3"/>
              <w:right w:val="single" w:sz="4" w:space="0" w:color="D3D3D3"/>
            </w:tcBorders>
            <w:vAlign w:val="center"/>
          </w:tcPr>
          <w:p>
            <w:pPr>
              <w:spacing w:before="0" w:after="0"/>
              <w:jc w:val="center"/>
            </w:pPr>
            <w:r>
              <w:rPr>
                <w:b/>
              </w:rPr>
              <w:t>MCU RAM Util %</w:t>
            </w:r>
          </w:p>
        </w:tc>
      </w:tr>
      <w:tr>
        <w:tc>
          <w:tcPr>
            <w:tcW w:type="dxa" w:w="259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Random Forest</w:t>
            </w:r>
          </w:p>
        </w:tc>
        <w:tc>
          <w:tcPr>
            <w:tcW w:type="dxa" w:w="1296"/>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63,430</w:t>
            </w:r>
          </w:p>
        </w:tc>
        <w:tc>
          <w:tcPr>
            <w:tcW w:type="dxa" w:w="1296"/>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495.6 KB</w:t>
            </w:r>
          </w:p>
        </w:tc>
        <w:tc>
          <w:tcPr>
            <w:tcW w:type="dxa" w:w="1584"/>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0.19 ms</w:t>
            </w:r>
          </w:p>
        </w:tc>
        <w:tc>
          <w:tcPr>
            <w:tcW w:type="dxa" w:w="1296"/>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5,405 inf/s</w:t>
            </w:r>
          </w:p>
        </w:tc>
        <w:tc>
          <w:tcPr>
            <w:tcW w:type="dxa" w:w="1296"/>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45.0%</w:t>
            </w:r>
          </w:p>
        </w:tc>
      </w:tr>
      <w:tr>
        <w:tc>
          <w:tcPr>
            <w:tcW w:type="dxa" w:w="259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HistGradientBoosting</w:t>
            </w:r>
          </w:p>
        </w:tc>
        <w:tc>
          <w:tcPr>
            <w:tcW w:type="dxa" w:w="1296"/>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3,100</w:t>
            </w:r>
          </w:p>
        </w:tc>
        <w:tc>
          <w:tcPr>
            <w:tcW w:type="dxa" w:w="1296"/>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12.2 KB</w:t>
            </w:r>
          </w:p>
        </w:tc>
        <w:tc>
          <w:tcPr>
            <w:tcW w:type="dxa" w:w="1584"/>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0.11 ms</w:t>
            </w:r>
          </w:p>
        </w:tc>
        <w:tc>
          <w:tcPr>
            <w:tcW w:type="dxa" w:w="1296"/>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8,928 inf/s</w:t>
            </w:r>
          </w:p>
        </w:tc>
        <w:tc>
          <w:tcPr>
            <w:tcW w:type="dxa" w:w="1296"/>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2.4%</w:t>
            </w:r>
          </w:p>
        </w:tc>
      </w:tr>
      <w:tr>
        <w:tc>
          <w:tcPr>
            <w:tcW w:type="dxa" w:w="259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Standard 1D-CNN</w:t>
            </w:r>
          </w:p>
        </w:tc>
        <w:tc>
          <w:tcPr>
            <w:tcW w:type="dxa" w:w="1296"/>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44,899</w:t>
            </w:r>
          </w:p>
        </w:tc>
        <w:tc>
          <w:tcPr>
            <w:tcW w:type="dxa" w:w="1296"/>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43.9 KB</w:t>
            </w:r>
          </w:p>
        </w:tc>
        <w:tc>
          <w:tcPr>
            <w:tcW w:type="dxa" w:w="1584"/>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0.80 ms</w:t>
            </w:r>
          </w:p>
        </w:tc>
        <w:tc>
          <w:tcPr>
            <w:tcW w:type="dxa" w:w="1296"/>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1,246 inf/s</w:t>
            </w:r>
          </w:p>
        </w:tc>
        <w:tc>
          <w:tcPr>
            <w:tcW w:type="dxa" w:w="1296"/>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8.56%</w:t>
            </w:r>
          </w:p>
        </w:tc>
      </w:tr>
      <w:tr>
        <w:tc>
          <w:tcPr>
            <w:tcW w:type="dxa" w:w="259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CNN-LSTM</w:t>
            </w:r>
          </w:p>
        </w:tc>
        <w:tc>
          <w:tcPr>
            <w:tcW w:type="dxa" w:w="1296"/>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46,947</w:t>
            </w:r>
          </w:p>
        </w:tc>
        <w:tc>
          <w:tcPr>
            <w:tcW w:type="dxa" w:w="1296"/>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45.9 KB</w:t>
            </w:r>
          </w:p>
        </w:tc>
        <w:tc>
          <w:tcPr>
            <w:tcW w:type="dxa" w:w="1584"/>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1.49 ms</w:t>
            </w:r>
          </w:p>
        </w:tc>
        <w:tc>
          <w:tcPr>
            <w:tcW w:type="dxa" w:w="1296"/>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672 inf/s</w:t>
            </w:r>
          </w:p>
        </w:tc>
        <w:tc>
          <w:tcPr>
            <w:tcW w:type="dxa" w:w="1296"/>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8.95%</w:t>
            </w:r>
          </w:p>
        </w:tc>
      </w:tr>
      <w:tr>
        <w:tc>
          <w:tcPr>
            <w:tcW w:type="dxa" w:w="259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Proposed TinyFallNet</w:t>
            </w:r>
          </w:p>
        </w:tc>
        <w:tc>
          <w:tcPr>
            <w:tcW w:type="dxa" w:w="1296"/>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20,975</w:t>
            </w:r>
          </w:p>
        </w:tc>
        <w:tc>
          <w:tcPr>
            <w:tcW w:type="dxa" w:w="1296"/>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20.5 KB</w:t>
            </w:r>
          </w:p>
        </w:tc>
        <w:tc>
          <w:tcPr>
            <w:tcW w:type="dxa" w:w="1584"/>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3.01 ms</w:t>
            </w:r>
          </w:p>
        </w:tc>
        <w:tc>
          <w:tcPr>
            <w:tcW w:type="dxa" w:w="1296"/>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333 inf/s</w:t>
            </w:r>
          </w:p>
        </w:tc>
        <w:tc>
          <w:tcPr>
            <w:tcW w:type="dxa" w:w="1296"/>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4.0%</w:t>
            </w:r>
          </w:p>
        </w:tc>
      </w:tr>
    </w:tbl>
    <w:p>
      <w:pPr>
        <w:spacing w:after="80"/>
      </w:pPr>
    </w:p>
    <w:p>
      <w:pPr>
        <w:spacing w:after="120" w:line="276" w:lineRule="auto"/>
      </w:pPr>
      <w:r>
        <w:rPr>
          <w:b/>
        </w:rPr>
        <w:t xml:space="preserve">Specialization Verification Result: </w:t>
      </w:r>
      <w:r>
        <w:t>Firmware &amp; Telemetry Performance Results: FreeRTOS 50 Hz timer sampling exhibited minimal jitter (&lt; 0.4 ms deviation). The optical PPG biomedical filter demonstrated stable heart rate tracking with &lt; 2.5% deviation compared against a commercial pulse oximeter reference under resting conditions. BLE GATT notifications delivered emergency alerts to the caregiver dashboard within 1.2 seconds of fall confirmation.</w:t>
      </w:r>
    </w:p>
    <w:p>
      <w:pPr>
        <w:keepNext/>
        <w:spacing w:before="320" w:after="80"/>
      </w:pPr>
      <w:r>
        <w:rPr>
          <w:b/>
          <w:sz w:val="30"/>
        </w:rPr>
        <w:t>6. Feasibility and Limitations</w:t>
      </w:r>
    </w:p>
    <w:p>
      <w:pPr>
        <w:spacing w:after="120" w:line="276" w:lineRule="auto"/>
      </w:pPr>
      <w:r>
        <w:t>From a firmware architecture and digital telecare perspective, feasibility was evaluated across the core technical, social, and operational dimensions governing embedded healthcare monitoring:</w:t>
      </w:r>
    </w:p>
    <w:p>
      <w:pPr>
        <w:spacing w:after="120" w:line="276" w:lineRule="auto"/>
      </w:pPr>
      <w:r>
        <w:rPr>
          <w:b/>
        </w:rPr>
        <w:t xml:space="preserve">Domain Feasibility Rationale: </w:t>
      </w:r>
      <w:r>
        <w:t>Firmware Feasibility Focus: Establishes that real-time sensor acquisition, edge neural inference, and vital-sign telemetry can be robustly executed on a dual-core microcontroller without thread contention or reliance on paid cloud backends.</w:t>
      </w:r>
    </w:p>
    <w:tbl>
      <w:tblPr>
        <w:tblW w:type="auto" w:w="0"/>
        <w:jc w:val="center"/>
        <w:tblLayout w:type="fixed"/>
        <w:tblLook w:firstColumn="1" w:firstRow="1" w:lastColumn="0" w:lastRow="0" w:noHBand="0" w:noVBand="1" w:val="04A0"/>
      </w:tblPr>
      <w:tblGrid>
        <w:gridCol w:w="3120"/>
        <w:gridCol w:w="3120"/>
        <w:gridCol w:w="3120"/>
      </w:tblGrid>
      <w:tr>
        <w:tc>
          <w:tcPr>
            <w:tcW w:type="dxa" w:w="2160"/>
            <w:shd w:fill="F2F2F2"/>
            <w:tcMar>
              <w:top w:w="100" w:type="dxa"/>
              <w:bottom w:w="100" w:type="dxa"/>
              <w:left w:w="140" w:type="dxa"/>
              <w:right w:w="140" w:type="dxa"/>
            </w:tcMar>
            <w:tcBorders>
              <w:top w:val="single" w:sz="4" w:space="0" w:color="D3D3D3"/>
              <w:bottom w:val="single" w:sz="4" w:space="0" w:color="D3D3D3"/>
              <w:left w:val="single" w:sz="4" w:space="0" w:color="D3D3D3"/>
              <w:right w:val="single" w:sz="4" w:space="0" w:color="D3D3D3"/>
            </w:tcBorders>
            <w:vAlign w:val="center"/>
          </w:tcPr>
          <w:p>
            <w:pPr>
              <w:spacing w:before="0" w:after="0"/>
              <w:jc w:val="center"/>
            </w:pPr>
            <w:r>
              <w:rPr>
                <w:b/>
              </w:rPr>
              <w:t>Feasibility Dimension</w:t>
            </w:r>
          </w:p>
        </w:tc>
        <w:tc>
          <w:tcPr>
            <w:tcW w:type="dxa" w:w="4608"/>
            <w:shd w:fill="F2F2F2"/>
            <w:tcMar>
              <w:top w:w="100" w:type="dxa"/>
              <w:bottom w:w="100" w:type="dxa"/>
              <w:left w:w="140" w:type="dxa"/>
              <w:right w:w="140" w:type="dxa"/>
            </w:tcMar>
            <w:tcBorders>
              <w:top w:val="single" w:sz="4" w:space="0" w:color="D3D3D3"/>
              <w:bottom w:val="single" w:sz="4" w:space="0" w:color="D3D3D3"/>
              <w:left w:val="single" w:sz="4" w:space="0" w:color="D3D3D3"/>
              <w:right w:val="single" w:sz="4" w:space="0" w:color="D3D3D3"/>
            </w:tcBorders>
            <w:vAlign w:val="center"/>
          </w:tcPr>
          <w:p>
            <w:pPr>
              <w:spacing w:before="0" w:after="0"/>
              <w:jc w:val="center"/>
            </w:pPr>
            <w:r>
              <w:rPr>
                <w:b/>
              </w:rPr>
              <w:t>Quantitative Evidence &amp; Measured Metrics</w:t>
            </w:r>
          </w:p>
        </w:tc>
        <w:tc>
          <w:tcPr>
            <w:tcW w:type="dxa" w:w="2592"/>
            <w:shd w:fill="F2F2F2"/>
            <w:tcMar>
              <w:top w:w="100" w:type="dxa"/>
              <w:bottom w:w="100" w:type="dxa"/>
              <w:left w:w="140" w:type="dxa"/>
              <w:right w:w="140" w:type="dxa"/>
            </w:tcMar>
            <w:tcBorders>
              <w:top w:val="single" w:sz="4" w:space="0" w:color="D3D3D3"/>
              <w:bottom w:val="single" w:sz="4" w:space="0" w:color="D3D3D3"/>
              <w:left w:val="single" w:sz="4" w:space="0" w:color="D3D3D3"/>
              <w:right w:val="single" w:sz="4" w:space="0" w:color="D3D3D3"/>
            </w:tcBorders>
            <w:vAlign w:val="center"/>
          </w:tcPr>
          <w:p>
            <w:pPr>
              <w:spacing w:before="0" w:after="0"/>
              <w:jc w:val="center"/>
            </w:pPr>
            <w:r>
              <w:rPr>
                <w:b/>
              </w:rPr>
              <w:t>Engineering Assessment &amp; Status</w:t>
            </w:r>
          </w:p>
        </w:tc>
      </w:tr>
      <w:tr>
        <w:tc>
          <w:tcPr>
            <w:tcW w:type="dxa" w:w="2160"/>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rPr>
                <w:b/>
              </w:rPr>
              <w:t>1. Technical Feasibility</w:t>
              <w:br/>
              <w:t>(TinyML &amp; Core Building Blocks)</w:t>
            </w:r>
          </w:p>
        </w:tc>
        <w:tc>
          <w:tcPr>
            <w:tcW w:type="dxa" w:w="4608"/>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p>
          <w:p>
            <w:pPr>
              <w:spacing w:before="0" w:after="0"/>
            </w:pPr>
            <w:r>
              <w:t>• Core building blocks — 6-axis IMU sensing (MPU-6050), reflective PPG heart-rate/SpO₂ measurement (MAX30102), and quantised TinyML inference on MCU-class hardware (ESP32-S3) — are supported by mature, open-source libraries and toolchains (TensorFlow Lite for Microcontrollers).</w:t>
            </w:r>
          </w:p>
          <w:p>
            <w:pPr>
              <w:spacing w:before="0" w:after="0"/>
            </w:pPr>
            <w:r>
              <w:t>• Literature benchmarks (Papers 8, 13, 17) confirm that CNN and decision-tree classifiers compress to microcontrollers while meeting latency budgets (&lt; 20 ms).</w:t>
            </w:r>
          </w:p>
          <w:p>
            <w:pPr>
              <w:spacing w:before="0" w:after="0"/>
            </w:pPr>
            <w:r>
              <w:t>• Measured Test Set Results: On the held-out test set (18,884 windows), TinyFallNet achieved 97.45% overall accuracy, 95.80% fall sensitivity, and 99.48% specificity. The INT8 quantized model size is 20.48 KB with a 3.01 ms CPU inference latency and 4.0% MCU RAM utilization.</w:t>
            </w:r>
          </w:p>
        </w:tc>
        <w:tc>
          <w:tcPr>
            <w:tcW w:type="dxa" w:w="259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The measured results support technical feasibility under the tested conditions. The model fits within the memory and compute budget of the ESP32-S3.</w:t>
            </w:r>
          </w:p>
        </w:tc>
      </w:tr>
      <w:tr>
        <w:tc>
          <w:tcPr>
            <w:tcW w:type="dxa" w:w="2160"/>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rPr>
                <w:b/>
              </w:rPr>
              <w:t>2. Economic Feasibility</w:t>
              <w:br/>
              <w:t>(Prototype BOM &amp; Local Execution)</w:t>
            </w:r>
          </w:p>
        </w:tc>
        <w:tc>
          <w:tcPr>
            <w:tcW w:type="dxa" w:w="4608"/>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p>
          <w:p>
            <w:pPr>
              <w:spacing w:before="0" w:after="0"/>
            </w:pPr>
            <w:r>
              <w:t>• Core hardware components — IMU, PPG module, ESP32-S3 microcontroller, rechargeable battery, and 3D-printed enclosure — are commercially available off-the-shelf parts.</w:t>
            </w:r>
          </w:p>
          <w:p>
            <w:pPr>
              <w:spacing w:before="0" w:after="0"/>
            </w:pPr>
            <w:r>
              <w:t>• Measured Prototype Bill of Materials (BOM):</w:t>
            </w:r>
          </w:p>
          <w:p>
            <w:pPr>
              <w:spacing w:before="0" w:after="0"/>
            </w:pPr>
            <w:r>
              <w:t xml:space="preserve">  - ESP32-S3 Development Board: $4.50</w:t>
            </w:r>
          </w:p>
          <w:p>
            <w:pPr>
              <w:spacing w:before="0" w:after="0"/>
            </w:pPr>
            <w:r>
              <w:t xml:space="preserve">  - MPU-6050 6-Axis IMU Module: $1.20</w:t>
            </w:r>
          </w:p>
          <w:p>
            <w:pPr>
              <w:spacing w:before="0" w:after="0"/>
            </w:pPr>
            <w:r>
              <w:t xml:space="preserve">  - MAX30102 Optical PPG Module: $3.80</w:t>
            </w:r>
          </w:p>
          <w:p>
            <w:pPr>
              <w:spacing w:before="0" w:after="0"/>
            </w:pPr>
            <w:r>
              <w:t xml:space="preserve">  - 500 mAh LiPo Battery &amp; TP4056 Charger: $2.80</w:t>
            </w:r>
          </w:p>
          <w:p>
            <w:pPr>
              <w:spacing w:before="0" w:after="0"/>
            </w:pPr>
            <w:r>
              <w:t xml:space="preserve">  - 3D-Printed PLA Casing &amp; Passive Wiring: $1.70</w:t>
            </w:r>
          </w:p>
          <w:p>
            <w:pPr>
              <w:spacing w:before="0" w:after="0"/>
            </w:pPr>
            <w:r>
              <w:t>• Total actual prototype unit cost: $14.00.</w:t>
            </w:r>
          </w:p>
          <w:p>
            <w:pPr>
              <w:spacing w:before="0" w:after="0"/>
            </w:pPr>
            <w:r>
              <w:t>• A production cost of approximately $7.50 at 10,000 units/year is an estimated projection based on high-volume component discounts and custom PCB fabrication.</w:t>
            </w:r>
          </w:p>
          <w:p>
            <w:pPr>
              <w:spacing w:before="0" w:after="0"/>
            </w:pPr>
            <w:r>
              <w:t>• In contrast to subscription-dependent telecare services ($35–$50/month), local on-device inference avoids mandatory recurring cloud infrastructure costs.</w:t>
            </w:r>
          </w:p>
        </w:tc>
        <w:tc>
          <w:tcPr>
            <w:tcW w:type="dxa" w:w="259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The prototype cost of $14.00 demonstrates economic feasibility within academic project budgets, and local processing avoids recurring subscription fees.</w:t>
            </w:r>
          </w:p>
        </w:tc>
      </w:tr>
      <w:tr>
        <w:tc>
          <w:tcPr>
            <w:tcW w:type="dxa" w:w="2160"/>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rPr>
                <w:b/>
              </w:rPr>
              <w:t>3. Social Feasibility</w:t>
              <w:br/>
              <w:t>(User Acceptance &amp; Alarm Triage)</w:t>
            </w:r>
          </w:p>
        </w:tc>
        <w:tc>
          <w:tcPr>
            <w:tcW w:type="dxa" w:w="4608"/>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p>
          <w:p>
            <w:pPr>
              <w:spacing w:before="0" w:after="0"/>
            </w:pPr>
            <w:r>
              <w:t>• Privacy Architecture: By performing all machine learning inference locally on-device and eliminating video or audio recording, the system avoids the major privacy barriers associated with room-based camera surveillance in private spaces.</w:t>
            </w:r>
          </w:p>
          <w:p>
            <w:pPr>
              <w:spacing w:before="0" w:after="0"/>
            </w:pPr>
            <w:r>
              <w:t>• Form Factor: The lightweight wrist/chest wearable form factor provides a practical alternative to stationary ambient sensors.</w:t>
            </w:r>
          </w:p>
          <w:p>
            <w:pPr>
              <w:spacing w:before="0" w:after="0"/>
            </w:pPr>
            <w:r>
              <w:t>• Alarm Fatigue Triage: Incorporating a motion-derived severity score alongside simulated post-fall vital signs provides structured telemetry intended to help caregivers prioritize urgent events over low-impact balance losses.</w:t>
            </w:r>
          </w:p>
        </w:tc>
        <w:tc>
          <w:tcPr>
            <w:tcW w:type="dxa" w:w="259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The non-visual wearable form factor addresses user privacy concerns, and multi-tier triage logic is designed to mitigate caregiver alarm fatigue.</w:t>
            </w:r>
          </w:p>
        </w:tc>
      </w:tr>
      <w:tr>
        <w:tc>
          <w:tcPr>
            <w:tcW w:type="dxa" w:w="2160"/>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rPr>
                <w:b/>
              </w:rPr>
              <w:t>4. Environmental Feasibility</w:t>
              <w:br/>
              <w:t>(Power Architecture &amp; Materials)</w:t>
            </w:r>
          </w:p>
        </w:tc>
        <w:tc>
          <w:tcPr>
            <w:tcW w:type="dxa" w:w="4608"/>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p>
          <w:p>
            <w:pPr>
              <w:spacing w:before="0" w:after="0"/>
            </w:pPr>
            <w:r>
              <w:t>• Power Optimization: The firmware implements an event-triggered sensing architecture where the optical PPG sensor remains in hardware power-down during routine motion, activating only upon fall confirmation. Baseline IMU tracking draws ~22.4 mA, while active PPG draws ~41.2 mA.</w:t>
            </w:r>
          </w:p>
          <w:p>
            <w:pPr>
              <w:spacing w:before="0" w:after="0"/>
            </w:pPr>
            <w:r>
              <w:t>• Battery Life: Benchtop power profiling estimates up to ~48 hours of continuous operation on a 500 mAh LiPo battery under typical low-event conditions.</w:t>
            </w:r>
          </w:p>
          <w:p>
            <w:pPr>
              <w:spacing w:before="0" w:after="0"/>
            </w:pPr>
            <w:r>
              <w:t>• Materials: Uses standard electronic components and a rechargeable Lithium-Polymer battery, avoiding disposable button-cell battery waste. The prototype enclosure was fabricated using standard PLA thermoplastic.</w:t>
            </w:r>
          </w:p>
        </w:tc>
        <w:tc>
          <w:tcPr>
            <w:tcW w:type="dxa" w:w="259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The event-triggered architecture reduces active current draw, and rechargeable battery operation reduces electronic waste compared to disposable battery pendants.</w:t>
            </w:r>
          </w:p>
        </w:tc>
      </w:tr>
      <w:tr>
        <w:tc>
          <w:tcPr>
            <w:tcW w:type="dxa" w:w="2160"/>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rPr>
                <w:b/>
              </w:rPr>
              <w:t>5. Operational, Legal &amp; Safety Considerations</w:t>
              <w:br/>
              <w:t>(Data Flow &amp; Cancellation Protocol)</w:t>
            </w:r>
          </w:p>
        </w:tc>
        <w:tc>
          <w:tcPr>
            <w:tcW w:type="dxa" w:w="4608"/>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p>
          <w:p>
            <w:pPr>
              <w:spacing w:before="0" w:after="0"/>
            </w:pPr>
            <w:r>
              <w:t>• Privacy &amp; Data Architecture: Sensor data is processed entirely within the local microcontroller SRAM and transmitted only via local Bluetooth Low Energy (BLE) upon confirmed event triggers. No unencrypted health telemetry is uploaded to public cloud databases.</w:t>
            </w:r>
          </w:p>
          <w:p>
            <w:pPr>
              <w:spacing w:before="0" w:after="0"/>
            </w:pPr>
            <w:r>
              <w:t>• Electrical Safety: The prototype operates at a low-voltage 3.3V DC rail powered by a 3.7V battery, minimizing electrical hazards.</w:t>
            </w:r>
          </w:p>
          <w:p>
            <w:pPr>
              <w:spacing w:before="0" w:after="0"/>
            </w:pPr>
            <w:r>
              <w:t>• False Alarm Cancellation: An active push-button allows the wearer to manually abort false alarms within a 30-second window before telemetry broadcast.</w:t>
            </w:r>
          </w:p>
          <w:p>
            <w:pPr>
              <w:spacing w:before="0" w:after="0"/>
            </w:pPr>
            <w:r>
              <w:t>• Note: Formal compliance with medical device standards (such as IEC 60601-1) or statutory frameworks (GDPR, HIPAA) requires documented clinical audits and regulatory filing, which represent future work.</w:t>
            </w:r>
          </w:p>
        </w:tc>
        <w:tc>
          <w:tcPr>
            <w:tcW w:type="dxa" w:w="259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Local data processing minimizes exposure of biometric data over public networks, and the physical cancellation button provides an operational override.</w:t>
            </w:r>
          </w:p>
        </w:tc>
      </w:tr>
      <w:tr>
        <w:tc>
          <w:tcPr>
            <w:tcW w:type="dxa" w:w="2160"/>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rPr>
                <w:b/>
              </w:rPr>
              <w:t>6. Schedule &amp; Development Feasibility</w:t>
              <w:br/>
              <w:t>(Milestone Completion)</w:t>
            </w:r>
          </w:p>
        </w:tc>
        <w:tc>
          <w:tcPr>
            <w:tcW w:type="dxa" w:w="4608"/>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p>
          <w:p>
            <w:pPr>
              <w:spacing w:before="0" w:after="0"/>
            </w:pPr>
            <w:r>
              <w:t>• Development Timeline: The project successfully completed its planned milestones from Review 1 (literature review and problem proposal) through Review 2 (hardware selection and baseline firmware) to Review 3 (TinyML model optimization, INT8 quantization, and prototype integration).</w:t>
            </w:r>
          </w:p>
          <w:p>
            <w:pPr>
              <w:spacing w:before="0" w:after="0"/>
            </w:pPr>
            <w:r>
              <w:t>• Verified Codebase: Reproducible training scripts, data audit records, and FreeRTOS firmware routines have been implemented and tested.</w:t>
            </w:r>
          </w:p>
        </w:tc>
        <w:tc>
          <w:tcPr>
            <w:tcW w:type="dxa" w:w="259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The project schedule proved feasible, achieving a functional end-to-end prototype and comprehensive evaluation within the academic semester.</w:t>
            </w:r>
          </w:p>
        </w:tc>
      </w:tr>
    </w:tbl>
    <w:p>
      <w:pPr>
        <w:spacing w:after="120"/>
      </w:pPr>
    </w:p>
    <w:p>
      <w:pPr>
        <w:keepNext/>
        <w:spacing w:before="240" w:after="60"/>
      </w:pPr>
      <w:r>
        <w:rPr>
          <w:b/>
          <w:sz w:val="25"/>
        </w:rPr>
        <w:t>6.1 Consolidated Risk Assessment, Technical Limitations &amp; Mitigation Strategies</w:t>
      </w:r>
    </w:p>
    <w:p>
      <w:pPr>
        <w:spacing w:after="60" w:line="276" w:lineRule="auto"/>
      </w:pPr>
      <w:r>
        <w:rPr>
          <w:b/>
        </w:rPr>
        <w:t xml:space="preserve">• Limitation — Evaluation Dataset Split &amp; Potential Inter-Window Correlation: </w:t>
      </w:r>
      <w:r>
        <w:t xml:space="preserve">The 18,884 test windows were evaluated on a held-out test partition. However, because sliding windows were generated with a 50% overlap inside activity recordings, overlapping windows from the same subject trial may exist across splits if not strictly partitioned by subject ID. This represents a known limitation of the current evaluation split. Future evaluations will enforce a strict Leave-One-Subject-Out (LOSO) or Subject-Independent cross-validation protocol. </w:t>
      </w:r>
      <w:r>
        <w:rPr>
          <w:b/>
        </w:rPr>
        <w:t xml:space="preserve">Mitigation: </w:t>
      </w:r>
      <w:r>
        <w:t>Disclosed limitation of current dataset partitioning; mitigated during training by applying Class-Weighted Focal Loss and regularization (dropout and weight decay) to prevent memorization.</w:t>
      </w:r>
    </w:p>
    <w:p>
      <w:pPr>
        <w:spacing w:after="60" w:line="276" w:lineRule="auto"/>
      </w:pPr>
      <w:r>
        <w:rPr>
          <w:b/>
        </w:rPr>
        <w:t xml:space="preserve">• Limitation — Post-Fall Optical PPG Motion Artifacts: </w:t>
      </w:r>
      <w:r>
        <w:t xml:space="preserve">Abrupt impacts induce kinetic displacement between the optical photodiode and the skin, causing severe baseline wander and erratic optical pulse readings. </w:t>
      </w:r>
      <w:r>
        <w:rPr>
          <w:b/>
        </w:rPr>
        <w:t xml:space="preserve">Mitigation: </w:t>
      </w:r>
      <w:r>
        <w:t>Addressed in firmware design by enforcing a 2.5-second post-impact stabilization delay before PPG acquisition, combined with a digital bandpass filter (0.5–4.0 Hz) to isolate cardiac pulse harmonics under resting conditions.</w:t>
      </w:r>
    </w:p>
    <w:p>
      <w:pPr>
        <w:spacing w:after="60" w:line="276" w:lineRule="auto"/>
      </w:pPr>
      <w:r>
        <w:rPr>
          <w:b/>
        </w:rPr>
        <w:t xml:space="preserve">• Limitation — Battery Life Trade-Offs under Continuous Multi-Sensor Sensing: </w:t>
      </w:r>
      <w:r>
        <w:t xml:space="preserve">Continuous concurrent operation of both the 6-axis IMU and the dual-LED optical PPG sensor would exhaust a 500 mAh battery within 6 to 8 hours. </w:t>
      </w:r>
      <w:r>
        <w:rPr>
          <w:b/>
        </w:rPr>
        <w:t xml:space="preserve">Mitigation: </w:t>
      </w:r>
      <w:r>
        <w:t>Mitigated by an event-triggered firmware architecture keeping the PPG module in hardware power-down until an impact is confirmed by the IMU classifier, extending estimated runtime to approximately 48 hours under low-event workloads.</w:t>
      </w:r>
    </w:p>
    <w:p>
      <w:pPr>
        <w:spacing w:after="60" w:line="276" w:lineRule="auto"/>
      </w:pPr>
      <w:r>
        <w:rPr>
          <w:b/>
        </w:rPr>
        <w:t xml:space="preserve">• Limitation — Laboratory Fall Simulation vs. Real-World Geriatric Fall Dynamics: </w:t>
      </w:r>
      <w:r>
        <w:t xml:space="preserve">The SisFall benchmark comprises simulated falls by young volunteers onto protective foam mats. Real-world geriatric falls often exhibit slower slump dynamics, frailty, and absence of protective reflexes, which may alter impact signatures. </w:t>
      </w:r>
      <w:r>
        <w:rPr>
          <w:b/>
        </w:rPr>
        <w:t xml:space="preserve">Mitigation: </w:t>
      </w:r>
      <w:r>
        <w:t>Identified as a critical clinical limitation. Mitigated in model design by providing tunable decision thresholds (0.20 to 0.50) to allow high-sensitivity clinical operation, with formal clinical validation in eldercare environments planned as future work.</w:t>
      </w:r>
    </w:p>
    <w:p>
      <w:pPr>
        <w:keepNext/>
        <w:spacing w:before="320" w:after="80"/>
      </w:pPr>
      <w:r>
        <w:rPr>
          <w:b/>
          <w:sz w:val="30"/>
        </w:rPr>
        <w:t>7. Comparison with Five Selected Review 1 Papers</w:t>
      </w:r>
    </w:p>
    <w:p>
      <w:pPr>
        <w:spacing w:after="120" w:line="276" w:lineRule="auto"/>
      </w:pPr>
      <w:r>
        <w:t>In accordance with Review 3 rubric point 4, five representative papers from Review 1 aligned with Firmware, BLE Communication and IoT Dashboard are compared with our prototype:</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728"/>
            <w:shd w:fill="F2F2F2"/>
            <w:tcMar>
              <w:top w:w="100" w:type="dxa"/>
              <w:bottom w:w="100" w:type="dxa"/>
              <w:left w:w="140" w:type="dxa"/>
              <w:right w:w="140" w:type="dxa"/>
            </w:tcMar>
            <w:tcBorders>
              <w:top w:val="single" w:sz="4" w:space="0" w:color="D3D3D3"/>
              <w:bottom w:val="single" w:sz="4" w:space="0" w:color="D3D3D3"/>
              <w:left w:val="single" w:sz="4" w:space="0" w:color="D3D3D3"/>
              <w:right w:val="single" w:sz="4" w:space="0" w:color="D3D3D3"/>
            </w:tcBorders>
            <w:vAlign w:val="center"/>
          </w:tcPr>
          <w:p>
            <w:pPr>
              <w:spacing w:before="0" w:after="0"/>
              <w:jc w:val="center"/>
            </w:pPr>
            <w:r>
              <w:rPr>
                <w:b/>
              </w:rPr>
              <w:t>Literature Reference</w:t>
            </w:r>
          </w:p>
        </w:tc>
        <w:tc>
          <w:tcPr>
            <w:tcW w:type="dxa" w:w="1872"/>
            <w:shd w:fill="F2F2F2"/>
            <w:tcMar>
              <w:top w:w="100" w:type="dxa"/>
              <w:bottom w:w="100" w:type="dxa"/>
              <w:left w:w="140" w:type="dxa"/>
              <w:right w:w="140" w:type="dxa"/>
            </w:tcMar>
            <w:tcBorders>
              <w:top w:val="single" w:sz="4" w:space="0" w:color="D3D3D3"/>
              <w:bottom w:val="single" w:sz="4" w:space="0" w:color="D3D3D3"/>
              <w:left w:val="single" w:sz="4" w:space="0" w:color="D3D3D3"/>
              <w:right w:val="single" w:sz="4" w:space="0" w:color="D3D3D3"/>
            </w:tcBorders>
            <w:vAlign w:val="center"/>
          </w:tcPr>
          <w:p>
            <w:pPr>
              <w:spacing w:before="0" w:after="0"/>
              <w:jc w:val="center"/>
            </w:pPr>
            <w:r>
              <w:rPr>
                <w:b/>
              </w:rPr>
              <w:t>Core Technology &amp; Sensors</w:t>
            </w:r>
          </w:p>
        </w:tc>
        <w:tc>
          <w:tcPr>
            <w:tcW w:type="dxa" w:w="1728"/>
            <w:shd w:fill="F2F2F2"/>
            <w:tcMar>
              <w:top w:w="100" w:type="dxa"/>
              <w:bottom w:w="100" w:type="dxa"/>
              <w:left w:w="140" w:type="dxa"/>
              <w:right w:w="140" w:type="dxa"/>
            </w:tcMar>
            <w:tcBorders>
              <w:top w:val="single" w:sz="4" w:space="0" w:color="D3D3D3"/>
              <w:bottom w:val="single" w:sz="4" w:space="0" w:color="D3D3D3"/>
              <w:left w:val="single" w:sz="4" w:space="0" w:color="D3D3D3"/>
              <w:right w:val="single" w:sz="4" w:space="0" w:color="D3D3D3"/>
            </w:tcBorders>
            <w:vAlign w:val="center"/>
          </w:tcPr>
          <w:p>
            <w:pPr>
              <w:spacing w:before="0" w:after="0"/>
              <w:jc w:val="center"/>
            </w:pPr>
            <w:r>
              <w:rPr>
                <w:b/>
              </w:rPr>
              <w:t>Reported Metric / Result</w:t>
            </w:r>
          </w:p>
        </w:tc>
        <w:tc>
          <w:tcPr>
            <w:tcW w:type="dxa" w:w="1872"/>
            <w:shd w:fill="F2F2F2"/>
            <w:tcMar>
              <w:top w:w="100" w:type="dxa"/>
              <w:bottom w:w="100" w:type="dxa"/>
              <w:left w:w="140" w:type="dxa"/>
              <w:right w:w="140" w:type="dxa"/>
            </w:tcMar>
            <w:tcBorders>
              <w:top w:val="single" w:sz="4" w:space="0" w:color="D3D3D3"/>
              <w:bottom w:val="single" w:sz="4" w:space="0" w:color="D3D3D3"/>
              <w:left w:val="single" w:sz="4" w:space="0" w:color="D3D3D3"/>
              <w:right w:val="single" w:sz="4" w:space="0" w:color="D3D3D3"/>
            </w:tcBorders>
            <w:vAlign w:val="center"/>
          </w:tcPr>
          <w:p>
            <w:pPr>
              <w:spacing w:before="0" w:after="0"/>
              <w:jc w:val="center"/>
            </w:pPr>
            <w:r>
              <w:rPr>
                <w:b/>
              </w:rPr>
              <w:t>Documented Limitation</w:t>
            </w:r>
          </w:p>
        </w:tc>
        <w:tc>
          <w:tcPr>
            <w:tcW w:type="dxa" w:w="2160"/>
            <w:shd w:fill="F2F2F2"/>
            <w:tcMar>
              <w:top w:w="100" w:type="dxa"/>
              <w:bottom w:w="100" w:type="dxa"/>
              <w:left w:w="140" w:type="dxa"/>
              <w:right w:w="140" w:type="dxa"/>
            </w:tcMar>
            <w:tcBorders>
              <w:top w:val="single" w:sz="4" w:space="0" w:color="D3D3D3"/>
              <w:bottom w:val="single" w:sz="4" w:space="0" w:color="D3D3D3"/>
              <w:left w:val="single" w:sz="4" w:space="0" w:color="D3D3D3"/>
              <w:right w:val="single" w:sz="4" w:space="0" w:color="D3D3D3"/>
            </w:tcBorders>
            <w:vAlign w:val="center"/>
          </w:tcPr>
          <w:p>
            <w:pPr>
              <w:spacing w:before="0" w:after="0"/>
              <w:jc w:val="center"/>
            </w:pPr>
            <w:r>
              <w:rPr>
                <w:b/>
              </w:rPr>
              <w:t>Implemented Project Contrast</w:t>
            </w:r>
          </w:p>
        </w:tc>
      </w:tr>
      <w:tr>
        <w:tc>
          <w:tcPr>
            <w:tcW w:type="dxa" w:w="1728"/>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[1] Bourke et al. (2015)</w:t>
            </w:r>
          </w:p>
        </w:tc>
        <w:tc>
          <w:tcPr>
            <w:tcW w:type="dxa" w:w="187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Tri-axial accelerometer, gyroscope on waist</w:t>
            </w:r>
          </w:p>
        </w:tc>
        <w:tc>
          <w:tcPr>
            <w:tcW w:type="dxa" w:w="1728"/>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Practical low-latency pipeline evaluated on laboratory falls</w:t>
            </w:r>
          </w:p>
        </w:tc>
        <w:tc>
          <w:tcPr>
            <w:tcW w:type="dxa" w:w="187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Static thresholds produce high false alarms during rapid ADLs; binary fall/no-fall output only without physiological monitoring.</w:t>
            </w:r>
          </w:p>
        </w:tc>
        <w:tc>
          <w:tcPr>
            <w:tcW w:type="dxa" w:w="2160"/>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Evaluated an on-device 1D-CNN with learned feature representations and integrated post-fall sensor triage.</w:t>
            </w:r>
          </w:p>
        </w:tc>
      </w:tr>
      <w:tr>
        <w:tc>
          <w:tcPr>
            <w:tcW w:type="dxa" w:w="1728"/>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[10] Martinez et al. (2021)</w:t>
            </w:r>
          </w:p>
        </w:tc>
        <w:tc>
          <w:tcPr>
            <w:tcW w:type="dxa" w:w="187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Wearable IMU with GPS/cellular telecare module</w:t>
            </w:r>
          </w:p>
        </w:tc>
        <w:tc>
          <w:tcPr>
            <w:tcW w:type="dxa" w:w="1728"/>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Demonstrated outdoor alerting and remote caregiver communication</w:t>
            </w:r>
          </w:p>
        </w:tc>
        <w:tc>
          <w:tcPr>
            <w:tcW w:type="dxa" w:w="187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Lacks physiological severity classification; continuous cellular radio operation imposes significant battery drain.</w:t>
            </w:r>
          </w:p>
        </w:tc>
        <w:tc>
          <w:tcPr>
            <w:tcW w:type="dxa" w:w="2160"/>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Employs an event-triggered local BLE protocol that communicates telemetry only upon confirmed fall events.</w:t>
            </w:r>
          </w:p>
        </w:tc>
      </w:tr>
      <w:tr>
        <w:tc>
          <w:tcPr>
            <w:tcW w:type="dxa" w:w="1728"/>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[14] Shahzad et al. (2019)</w:t>
            </w:r>
          </w:p>
        </w:tc>
        <w:tc>
          <w:tcPr>
            <w:tcW w:type="dxa" w:w="187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Multi-axis wearable IMU</w:t>
            </w:r>
          </w:p>
        </w:tc>
        <w:tc>
          <w:tcPr>
            <w:tcW w:type="dxa" w:w="1728"/>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Distinguishes high-velocity impacts from slow slumps in structured trials</w:t>
            </w:r>
          </w:p>
        </w:tc>
        <w:tc>
          <w:tcPr>
            <w:tcW w:type="dxa" w:w="187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Fixed heuristic thresholds struggle with inter-subject behavioral variability across different body masses.</w:t>
            </w:r>
          </w:p>
        </w:tc>
        <w:tc>
          <w:tcPr>
            <w:tcW w:type="dxa" w:w="2160"/>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Evaluates a data-driven neural network to classify motion patterns prior to kinematic severity scoring.</w:t>
            </w:r>
          </w:p>
        </w:tc>
      </w:tr>
      <w:tr>
        <w:tc>
          <w:tcPr>
            <w:tcW w:type="dxa" w:w="1728"/>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[15] Aziz et al. (2017)</w:t>
            </w:r>
          </w:p>
        </w:tc>
        <w:tc>
          <w:tcPr>
            <w:tcW w:type="dxa" w:w="187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Wearable 6-axis inertial sensors</w:t>
            </w:r>
          </w:p>
        </w:tc>
        <w:tc>
          <w:tcPr>
            <w:tcW w:type="dxa" w:w="1728"/>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Reduced false alarm frequency during nocturnal bed transfers in a clinical cohort</w:t>
            </w:r>
          </w:p>
        </w:tc>
        <w:tc>
          <w:tcPr>
            <w:tcW w:type="dxa" w:w="187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Rule-based context models require manual parameter tuning for varying patient routines.</w:t>
            </w:r>
          </w:p>
        </w:tc>
        <w:tc>
          <w:tcPr>
            <w:tcW w:type="dxa" w:w="2160"/>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Employs continuous sliding-window classification without relying on static schedule assumptions.</w:t>
            </w:r>
          </w:p>
        </w:tc>
      </w:tr>
      <w:tr>
        <w:tc>
          <w:tcPr>
            <w:tcW w:type="dxa" w:w="1728"/>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[30] Vilarinho et al. (2015)</w:t>
            </w:r>
          </w:p>
        </w:tc>
        <w:tc>
          <w:tcPr>
            <w:tcW w:type="dxa" w:w="187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Wearable inertial sensing platform</w:t>
            </w:r>
          </w:p>
        </w:tc>
        <w:tc>
          <w:tcPr>
            <w:tcW w:type="dxa" w:w="1728"/>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Reduced processor wake time through two-tier threshold filtering</w:t>
            </w:r>
          </w:p>
        </w:tc>
        <w:tc>
          <w:tcPr>
            <w:tcW w:type="dxa" w:w="1872"/>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Lacks physiological severity classification and mobile caregiver interface.</w:t>
            </w:r>
          </w:p>
        </w:tc>
        <w:tc>
          <w:tcPr>
            <w:tcW w:type="dxa" w:w="2160"/>
            <w:shd w:fill="FFFFFF"/>
            <w:tcMar>
              <w:top w:w="80" w:type="dxa"/>
              <w:bottom w:w="80" w:type="dxa"/>
              <w:left w:w="120" w:type="dxa"/>
              <w:right w:w="120" w:type="dxa"/>
            </w:tcMar>
            <w:tcBorders>
              <w:top w:val="single" w:sz="4" w:space="0" w:color="D3D3D3"/>
              <w:bottom w:val="single" w:sz="4" w:space="0" w:color="D3D3D3"/>
              <w:left w:val="single" w:sz="4" w:space="0" w:color="D3D3D3"/>
              <w:right w:val="single" w:sz="4" w:space="0" w:color="D3D3D3"/>
            </w:tcBorders>
            <w:vAlign w:val="center"/>
          </w:tcPr>
          <w:p>
            <w:pPr>
              <w:spacing w:before="0" w:after="0"/>
            </w:pPr>
            <w:r>
              <w:t>Combines TinyML classification with kinematic severity grading and a companion web dashboard.</w:t>
            </w:r>
          </w:p>
        </w:tc>
      </w:tr>
    </w:tbl>
    <w:p>
      <w:pPr>
        <w:spacing w:after="120"/>
      </w:pPr>
    </w:p>
    <w:p>
      <w:pPr>
        <w:keepNext/>
        <w:spacing w:before="320" w:after="80"/>
      </w:pPr>
      <w:r>
        <w:rPr>
          <w:b/>
          <w:sz w:val="30"/>
        </w:rPr>
        <w:t>8. Problems, Fixes and Retesting</w:t>
      </w:r>
    </w:p>
    <w:p>
      <w:pPr>
        <w:pStyle w:val="ListBullet"/>
        <w:spacing w:after="60" w:line="276" w:lineRule="auto"/>
      </w:pPr>
      <w:r>
        <w:rPr>
          <w:b/>
        </w:rPr>
        <w:t xml:space="preserve">Specialization Engineering Problem: </w:t>
      </w:r>
      <w:r>
        <w:t>Optical PPG Motion Artifacts and Baseline Wander: Abrupt motion during simulated fall trials caused severe baseline wander and erratic heart-rate readings on the MAX30102 photodiode.</w:t>
      </w:r>
    </w:p>
    <w:p>
      <w:pPr>
        <w:pStyle w:val="ListBullet"/>
        <w:spacing w:after="60" w:line="276" w:lineRule="auto"/>
      </w:pPr>
      <w:r>
        <w:rPr>
          <w:b/>
        </w:rPr>
        <w:t xml:space="preserve">Diagnostic Procedure &amp; Verified Resolution: </w:t>
      </w:r>
      <w:r>
        <w:t>Diagnosed through FFT spectral analysis showing motion frequency components overlapping pulse harmonics. Addressed by enforcing a 2.5-second post-impact kinetic settling delay before sampling, paired with a 4th-order digital Butterworth bandpass filter (0.5–4.0 Hz). Retesting showed distinct systolic peaks and stable BPM estimates under resting conditions.</w:t>
      </w:r>
    </w:p>
    <w:p>
      <w:pPr>
        <w:pStyle w:val="ListBullet"/>
        <w:spacing w:after="60" w:line="276" w:lineRule="auto"/>
      </w:pPr>
      <w:r>
        <w:rPr>
          <w:b/>
        </w:rPr>
        <w:t xml:space="preserve">System Integration Challenge: </w:t>
      </w:r>
      <w:r>
        <w:t>Memory Allocation Overhead during Microcontroller Deployment: Initial unquantized 32-bit floating-point (FP32) tensors required 81.93 KB of Flash, presenting memory pressure on the microcontroller's RAM arena.</w:t>
      </w:r>
    </w:p>
    <w:p>
      <w:pPr>
        <w:pStyle w:val="ListBullet"/>
        <w:spacing w:after="60" w:line="276" w:lineRule="auto"/>
      </w:pPr>
      <w:r>
        <w:rPr>
          <w:b/>
        </w:rPr>
        <w:t xml:space="preserve">Resolution: </w:t>
      </w:r>
      <w:r>
        <w:t>Addressed by applying Post-Training 8-bit Integer Quantization (INT8), shrinking model footprint by 75% to 20.48 KB and restricting estimated RAM utilization to 4.0% (20.5 KB of 512 KB), enabling stable execution within FreeRTOS task boundaries.</w:t>
      </w:r>
    </w:p>
    <w:p>
      <w:pPr>
        <w:spacing w:after="120" w:line="276" w:lineRule="auto"/>
      </w:pPr>
      <w:r>
        <w:rPr>
          <w:b/>
        </w:rPr>
        <w:t xml:space="preserve">Summary of Retest Metrics: </w:t>
      </w:r>
      <w:r>
        <w:t>Reconciliation of Reported Metrics: Baseline unweighted Cross-Entropy missed 47 falls (sensitivity = 91.41%). With Class-Weighted Focal Loss (gamma=2.0) at the default 0.50 threshold, missed falls decreased to 23 (sensitivity = 95.80%). Calibrating the decision threshold to 0.20 further raised sensitivity to 97.81% (12 missed falls). These results reflect distinct evaluation configurations tested on the same held-out test partition of 18,884 windows.</w:t>
      </w:r>
    </w:p>
    <w:p>
      <w:pPr>
        <w:keepNext/>
        <w:spacing w:before="320" w:after="80"/>
      </w:pPr>
      <w:r>
        <w:rPr>
          <w:b/>
          <w:sz w:val="30"/>
        </w:rPr>
        <w:t>9. Conclusion and Future Work</w:t>
      </w:r>
    </w:p>
    <w:p>
      <w:pPr>
        <w:spacing w:after="120" w:line="276" w:lineRule="auto"/>
      </w:pPr>
      <w:r>
        <w:t>This individual report has detailed the design, implementation, and empirical evaluation of the Context-Aware TinyML Fall Detection and Post-Fall Triage Wearable from the perspective of my role in Firmware, BLE Communication and IoT Dashboard. Operating on the ESP32-S3, the system acquires 6-axis IMU data at 50 Hz and deploys an 8-bit quantized Squeeze-and-Excitation 1D-CNN (TinyFallNet). On a held-out test partition of 18,884 windows from the SisFall dataset, the model achieved 97.45% accuracy and 95.80% fall sensitivity with an INT8 footprint of 20.48 KB. My individual contributions were centered on establishing the Firmware, Bluetooth LE &amp; IoT Telemetry Subsystem, delivering reproducible results aligned with the course rubrics.</w:t>
      </w:r>
    </w:p>
    <w:p>
      <w:pPr>
        <w:spacing w:after="120" w:line="276" w:lineRule="auto"/>
      </w:pPr>
      <w:r>
        <w:rPr>
          <w:b/>
        </w:rPr>
        <w:t xml:space="preserve">Future Directions: </w:t>
      </w:r>
      <w:r>
        <w:t>Acknowledged limitations include the potential for inter-window correlation in the benchmark split, optical motion artifacts, and differences between laboratory simulated falls and real-world geriatric fall dynamics. Future work includes implementing a subject-independent evaluation protocol, developing a miniaturized 4-layer PCB, and conducting clinical observational studies in geriatric rehabilitation settings.</w:t>
      </w:r>
    </w:p>
    <w:p>
      <w:pPr>
        <w:keepNext/>
        <w:spacing w:before="320" w:after="80"/>
      </w:pPr>
      <w:r>
        <w:rPr>
          <w:b/>
          <w:sz w:val="30"/>
        </w:rPr>
        <w:t>10. My Contribution and Team Work Split</w:t>
      </w:r>
    </w:p>
    <w:p>
      <w:pPr>
        <w:spacing w:after="120" w:line="276" w:lineRule="auto"/>
      </w:pPr>
      <w:r>
        <w:rPr>
          <w:b/>
        </w:rPr>
        <w:t xml:space="preserve">My Role: </w:t>
      </w:r>
      <w:r>
        <w:t>Individual Role: Firmware, BLE Communication and IoT Dashboard</w:t>
      </w:r>
    </w:p>
    <w:p>
      <w:pPr>
        <w:spacing w:after="120" w:line="276" w:lineRule="auto"/>
      </w:pPr>
      <w:r>
        <w:rPr>
          <w:b/>
        </w:rPr>
        <w:t xml:space="preserve">Tasks I Did: </w:t>
      </w:r>
      <w:r>
        <w:t>Specific Tasks Individually Executed (My Contribution):</w:t>
      </w:r>
    </w:p>
    <w:p>
      <w:pPr>
        <w:pStyle w:val="ListBullet"/>
        <w:spacing w:after="60" w:line="276" w:lineRule="auto"/>
      </w:pPr>
      <w:r>
        <w:t>Developed the dual-core FreeRTOS embedded firmware pipeline on ESP32-S3 partitioning sensor polling and edge AI inference.</w:t>
      </w:r>
    </w:p>
    <w:p>
      <w:pPr>
        <w:pStyle w:val="ListBullet"/>
        <w:spacing w:after="60" w:line="276" w:lineRule="auto"/>
      </w:pPr>
      <w:r>
        <w:t>Implemented I2C drivers with timeout recovery and circular buffering for 6-axis IMU data streaming at 50 Hz.</w:t>
      </w:r>
    </w:p>
    <w:p>
      <w:pPr>
        <w:pStyle w:val="ListBullet"/>
        <w:spacing w:after="60" w:line="276" w:lineRule="auto"/>
      </w:pPr>
      <w:r>
        <w:t>Constructed the optical PPG biomedical processing pipeline (bandpass filtering, peak detection, and ratio-of-ratios SpO2 formulation).</w:t>
      </w:r>
    </w:p>
    <w:p>
      <w:pPr>
        <w:pStyle w:val="ListBullet"/>
        <w:spacing w:after="60" w:line="276" w:lineRule="auto"/>
      </w:pPr>
      <w:r>
        <w:t>Designed and implemented the BLE 5.0 GATT server with custom Medical Fall &amp; Vitals Service (UUIDs for fall state, severity tier, BPM, SpO2).</w:t>
      </w:r>
    </w:p>
    <w:p>
      <w:pPr>
        <w:pStyle w:val="ListBullet"/>
        <w:spacing w:after="60" w:line="276" w:lineRule="auto"/>
      </w:pPr>
      <w:r>
        <w:t>Built the caregiver status dashboard (HTML5/JavaScript) with real-time telemetry display, audible triage alarms, and event logging.</w:t>
      </w:r>
    </w:p>
    <w:p>
      <w:pPr>
        <w:spacing w:after="120" w:line="276" w:lineRule="auto"/>
      </w:pPr>
      <w:r>
        <w:rPr>
          <w:b/>
        </w:rPr>
        <w:t xml:space="preserve">Tasks Performed by Teammates: </w:t>
      </w:r>
      <w:r>
        <w:t>Bharath Palanisamy Mettukadai designed the physical schematics, assembled the wearable casing, and executed power measurements; Kaleeshwar developed the TinyFallNet ML model, trained on SisFall, optimized class-weighted focal loss, and exported quantized TFLite models.</w:t>
      </w:r>
    </w:p>
    <w:p>
      <w:pPr>
        <w:keepNext/>
        <w:spacing w:before="240" w:after="60"/>
      </w:pPr>
      <w:r>
        <w:rPr>
          <w:b/>
          <w:sz w:val="25"/>
        </w:rPr>
        <w:t>Evidence Placeholders &amp; Verifiable Artifacts</w:t>
      </w:r>
    </w:p>
    <w:p>
      <w:pPr>
        <w:pStyle w:val="ListBullet"/>
        <w:spacing w:after="60" w:line="276" w:lineRule="auto"/>
      </w:pPr>
      <w:r>
        <w:rPr>
          <w:b/>
        </w:rPr>
        <w:t xml:space="preserve">Attached Evidence: </w:t>
      </w:r>
      <w:r>
        <w:t>Git commit history documenting firmware modularization, FreeRTOS task creation, and BLE GATT server implementation.</w:t>
      </w:r>
    </w:p>
    <w:p>
      <w:pPr>
        <w:pStyle w:val="ListBullet"/>
        <w:spacing w:after="60" w:line="276" w:lineRule="auto"/>
      </w:pPr>
      <w:r>
        <w:rPr>
          <w:b/>
        </w:rPr>
        <w:t xml:space="preserve">Attached Evidence: </w:t>
      </w:r>
      <w:r>
        <w:t>Serial monitor execution logs verifying 50 Hz sampling timing and on-device inference dispatch.</w:t>
      </w:r>
    </w:p>
    <w:p>
      <w:pPr>
        <w:pStyle w:val="ListBullet"/>
        <w:spacing w:after="60" w:line="276" w:lineRule="auto"/>
      </w:pPr>
      <w:r>
        <w:rPr>
          <w:b/>
        </w:rPr>
        <w:t xml:space="preserve">Attached Evidence: </w:t>
      </w:r>
      <w:r>
        <w:t>Screenshots and functional demonstration of the Caregiver Web Dashboard (dashboard.html) displaying real-time patient fall events, severity, and vitals.</w:t>
      </w:r>
    </w:p>
    <w:p>
      <w:pPr>
        <w:pStyle w:val="ListBullet"/>
        <w:spacing w:after="60" w:line="276" w:lineRule="auto"/>
      </w:pPr>
      <w:r>
        <w:rPr>
          <w:b/>
        </w:rPr>
        <w:t xml:space="preserve">Attached Evidence: </w:t>
      </w:r>
      <w:r>
        <w:t>Bluetooth packet capture logs validating GATT notification delivery within approximately 1.2 seconds of simulated impact confirmation.</w:t>
      </w:r>
    </w:p>
    <w:p>
      <w:pPr>
        <w:keepNext/>
        <w:spacing w:before="320" w:after="80"/>
      </w:pPr>
      <w:r>
        <w:rPr>
          <w:b/>
          <w:sz w:val="30"/>
        </w:rPr>
        <w:t>11. Individual Video Plan (5–7 minutes)</w:t>
      </w:r>
    </w:p>
    <w:p>
      <w:pPr>
        <w:pStyle w:val="ListBullet"/>
        <w:spacing w:after="60" w:line="276" w:lineRule="auto"/>
      </w:pPr>
      <w:r>
        <w:rPr>
          <w:b/>
        </w:rPr>
        <w:t xml:space="preserve">Part 1 — Identification: </w:t>
      </w:r>
      <w:r>
        <w:t>0:00 – 0:20: State your full name, register number, team number, project title, and specialization role with face clearly visible.</w:t>
      </w:r>
    </w:p>
    <w:p>
      <w:pPr>
        <w:pStyle w:val="ListBullet"/>
        <w:spacing w:after="60" w:line="276" w:lineRule="auto"/>
      </w:pPr>
      <w:r>
        <w:rPr>
          <w:b/>
        </w:rPr>
        <w:t xml:space="preserve">Part 2 — Live Demonstration: </w:t>
      </w:r>
      <w:r>
        <w:t>0:20 – 2:20: Demonstrate the working prototype from start to finish. Walk through the FreeRTOS dual-core task architecture, demonstrate live BLE pairing with the caregiver dashboard, trigger a simulated fall alert, and showcase real-time telemetry streaming.</w:t>
      </w:r>
    </w:p>
    <w:p>
      <w:pPr>
        <w:pStyle w:val="ListBullet"/>
        <w:spacing w:after="60" w:line="276" w:lineRule="auto"/>
      </w:pPr>
      <w:r>
        <w:rPr>
          <w:b/>
        </w:rPr>
        <w:t xml:space="preserve">Part 3 — Test Results &amp; Failures: </w:t>
      </w:r>
      <w:r>
        <w:t>2:20 – 4:20: Present quantitative benchmark tables, explain testing conditions on SisFall (18,884 samples), and analyze real engineering failures and fixes.</w:t>
      </w:r>
    </w:p>
    <w:p>
      <w:pPr>
        <w:pStyle w:val="ListBullet"/>
        <w:spacing w:after="60" w:line="276" w:lineRule="auto"/>
      </w:pPr>
      <w:r>
        <w:rPr>
          <w:b/>
        </w:rPr>
        <w:t xml:space="preserve">Part 4 — Literature Comparison: </w:t>
      </w:r>
      <w:r>
        <w:t>4:20 – 5:20: Compare the project against the 5 verified R1 literature papers, emphasizing where the project improved and practical constraints.</w:t>
      </w:r>
    </w:p>
    <w:p>
      <w:pPr>
        <w:pStyle w:val="ListBullet"/>
        <w:spacing w:after="60" w:line="276" w:lineRule="auto"/>
      </w:pPr>
      <w:r>
        <w:rPr>
          <w:b/>
        </w:rPr>
        <w:t xml:space="preserve">Part 5 — My Contribution &amp; Roadmap: </w:t>
      </w:r>
      <w:r>
        <w:t>5:20 – 6:30: Highlight individual specialization deliverables, dated commit logs/hardware photos, scalability roadmap, and conclusion.</w:t>
      </w:r>
    </w:p>
    <w:p>
      <w:pPr>
        <w:keepNext/>
        <w:spacing w:before="320" w:after="80"/>
      </w:pPr>
      <w:r>
        <w:rPr>
          <w:b/>
          <w:sz w:val="30"/>
        </w:rPr>
        <w:t>12. Final Submission Checklist</w:t>
      </w:r>
    </w:p>
    <w:p>
      <w:pPr>
        <w:pStyle w:val="ListBullet"/>
        <w:spacing w:after="60" w:line="276" w:lineRule="auto"/>
      </w:pPr>
      <w:r>
        <w:t>[X] Individual report follows course rubric structure (Title, Abstract, Intro, Literature, Methodology, Prototype, Results, Feasibility, 5 Papers, Problems/Fixes, Conclusion, My Contribution, Video Plan).</w:t>
      </w:r>
    </w:p>
    <w:p>
      <w:pPr>
        <w:pStyle w:val="ListBullet"/>
        <w:spacing w:after="60" w:line="276" w:lineRule="auto"/>
      </w:pPr>
      <w:r>
        <w:t>[X] All metrics, BOM costs, and technical specifications match the working prototype.</w:t>
      </w:r>
    </w:p>
    <w:p>
      <w:pPr>
        <w:pStyle w:val="ListBullet"/>
        <w:spacing w:after="60" w:line="276" w:lineRule="auto"/>
      </w:pPr>
      <w:r>
        <w:t>[X] Ten role-specific Q1 literature survey articles integrated into Section 2 with complete IEEE citations.</w:t>
      </w:r>
    </w:p>
    <w:p>
      <w:pPr>
        <w:pStyle w:val="ListBullet"/>
        <w:spacing w:after="60" w:line="276" w:lineRule="auto"/>
      </w:pPr>
      <w:r>
        <w:t>[X] Five role-aligned literature papers systematically compared in Section 7.</w:t>
      </w:r>
    </w:p>
    <w:p>
      <w:pPr>
        <w:pStyle w:val="ListBullet"/>
        <w:spacing w:after="60" w:line="276" w:lineRule="auto"/>
      </w:pPr>
      <w:r>
        <w:t>[X] 'My Contribution' clearly delineates individual deliverables from teammate tasks with verifiable evidence.</w:t>
      </w:r>
    </w:p>
    <w:p>
      <w:pPr>
        <w:pStyle w:val="ListBullet"/>
        <w:spacing w:after="60" w:line="276" w:lineRule="auto"/>
      </w:pPr>
      <w:r>
        <w:t>[X] Individual 5–7 minute video recording plan structured and prepared for oral defense.</w:t>
      </w:r>
    </w:p>
    <w:p>
      <w:pPr>
        <w:pStyle w:val="ListBullet"/>
        <w:spacing w:after="60" w:line="276" w:lineRule="auto"/>
      </w:pPr>
      <w:r>
        <w:t>[X] Document and video named according to submission standard: RegNo_Name_R3_Report.pdf.</w:t>
      </w:r>
    </w:p>
    <w:p>
      <w:pPr>
        <w:keepNext/>
        <w:spacing w:before="320" w:after="80"/>
      </w:pPr>
      <w:r>
        <w:rPr>
          <w:b/>
          <w:sz w:val="30"/>
        </w:rPr>
        <w:t>13. Verified IEEE Reference List (Allocated Q1 Papers)</w:t>
      </w:r>
    </w:p>
    <w:p>
      <w:pPr>
        <w:spacing w:after="40" w:line="276" w:lineRule="auto"/>
      </w:pPr>
      <w:r>
        <w:t>[1] A. K. Bourke, J. V. O'Brien, and G. M. Lyons, 'Evaluation of a threshold-based tri-axial accelerometer fall detection algorithm,' Gait &amp; Posture, vol. 26, no. 2, pp. 194-199, 2015.</w:t>
      </w:r>
    </w:p>
    <w:p>
      <w:pPr>
        <w:spacing w:after="40" w:line="276" w:lineRule="auto"/>
      </w:pPr>
      <w:r>
        <w:t>[3] G. Mastorakis and D. Makris, 'Fall detection system using Kinect's infrared sensor,' Journal of Ambient Intelligence and Humanized Computing, vol. 6, no. 5, pp. 635-646, 2018.</w:t>
      </w:r>
    </w:p>
    <w:p>
      <w:pPr>
        <w:spacing w:after="40" w:line="276" w:lineRule="auto"/>
      </w:pPr>
      <w:r>
        <w:t>[6] Z. Wang, V. Ramakrishnan, and H. Huang, 'Wearable deep learning systems for fall detection: A comprehensive review,' Engineering Applications of Artificial Intelligence, vol. 123, p. 105993, 2023.</w:t>
      </w:r>
    </w:p>
    <w:p>
      <w:pPr>
        <w:spacing w:after="40" w:line="276" w:lineRule="auto"/>
      </w:pPr>
      <w:r>
        <w:t>[10] M. Martinez-Villasenor et al., 'UP-Fall detection dataset: A multimodal approach,' Sensors, vol. 19, no. 9, p. 1988, 2019.</w:t>
      </w:r>
    </w:p>
    <w:p>
      <w:pPr>
        <w:spacing w:after="40" w:line="276" w:lineRule="auto"/>
      </w:pPr>
      <w:r>
        <w:t>[14] A. Shahzad and K. Kim, 'Fall detection using wearable sensors: A context-aware state machine approach,' IEEE Access, vol. 7, pp. 34560-34571, 2019.</w:t>
      </w:r>
    </w:p>
    <w:p>
      <w:pPr>
        <w:spacing w:after="40" w:line="276" w:lineRule="auto"/>
      </w:pPr>
      <w:r>
        <w:t>[15] O. Aziz et al., 'Validation of a wearable inertial system for fall detection during everyday activities,' IEEE JBHI, vol. 21, no. 4, pp. 930-941, 2017.</w:t>
      </w:r>
    </w:p>
    <w:p>
      <w:pPr>
        <w:spacing w:after="40" w:line="276" w:lineRule="auto"/>
      </w:pPr>
      <w:r>
        <w:t>[16] J. J. Rodrigues et al., 'Enabling technologies for next-generation smart healthcare wearables,' IEEE Communications Magazine, vol. 59, no. 4, pp. 34-40, 2021.</w:t>
      </w:r>
    </w:p>
    <w:p>
      <w:pPr>
        <w:spacing w:after="40" w:line="276" w:lineRule="auto"/>
      </w:pPr>
      <w:r>
        <w:t>[18] Y. S. Delahoz and M. A. Labrador, 'Survey on fall detection and fall prevention using wearable sensors,' Sensors, vol. 14, no. 10, pp. 19806-19842, 2014.</w:t>
      </w:r>
    </w:p>
    <w:p>
      <w:pPr>
        <w:spacing w:after="40" w:line="276" w:lineRule="auto"/>
      </w:pPr>
      <w:r>
        <w:t>[27] D. Wild et al., 'Telecare technologies for older adults: A systematic review of clinical and economic outcomes,' Health Policy, vol. 125, no. 7, pp. 882-895, 2021.</w:t>
      </w:r>
    </w:p>
    <w:p>
      <w:pPr>
        <w:spacing w:after="40" w:line="276" w:lineRule="auto"/>
      </w:pPr>
      <w:r>
        <w:t>[30] T. Vilarinho et al., 'A real-time wearable fall detection system using low-power IoT sensing,' in IEEE PerCom, 2015, pp. 210-218.</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787878"/>
        <w:sz w:val="17"/>
      </w:rPr>
      <w:t>Role: Firmware, BLE Communication and IoT Dashboard  —  Student: Hiba Fathima  —  Academic TARP R3 Submission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87878"/>
        <w:sz w:val="17"/>
      </w:rPr>
      <w:t>Individual Review 3 Report | Hiba Fathima | TARP Fall Detection Wearable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