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Ideation Phase</w:t>
      </w:r>
    </w:p>
    <w:p>
      <w:pPr>
        <w:jc w:val="center"/>
      </w:pPr>
      <w:r>
        <w:rPr>
          <w:rFonts w:ascii="Arial" w:hAnsi="Arial"/>
          <w:b/>
          <w:sz w:val="32"/>
        </w:rPr>
        <w:t>Empathize &amp; Discover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20"/>
              </w:rPr>
              <w:t>01 October 2026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20"/>
              </w:rPr>
              <w:t>SWTID-2026-5003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20"/>
              </w:rPr>
              <w:t>Implement Client Script &amp; UI Policy (Incident)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Empathy Map</w:t>
      </w:r>
    </w:p>
    <w:p>
      <w:r>
        <w:rPr>
          <w:rFonts w:ascii="Arial" w:hAnsi="Arial"/>
          <w:sz w:val="20"/>
        </w:rPr>
        <w:t>Empathy map prepared from the project problem statement, focusing on the Incident record user and the challenges caused by incomplete, inconsistent, or incorrect data entry.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4595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d_Empathy_Map_Client_Script_UI_Poli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9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Source basis: Project Problem Statement and Objective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