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Calibri" w:hAnsi="Calibri"/>
                <w:sz w:val="20"/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20"/>
              </w:rPr>
              <w:t>31 January 2025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Calibri" w:hAnsi="Calibri"/>
                <w:sz w:val="20"/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20"/>
              </w:rPr>
              <w:t>SWTID-2026-5003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hAnsi="Calibri"/>
                <w:sz w:val="20"/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20"/>
              </w:rPr>
              <w:t>Implement Client Script &amp; UI Policy (Incident)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alibri" w:hAnsi="Calibri"/>
                <w:sz w:val="20"/>
                <w:rtl w:val="0"/>
              </w:rPr>
              <w:t xml:space="preserve">Maximum Marks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20"/>
              </w:rPr>
              <w:t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rFonts w:ascii="Calibri" w:hAnsi="Calibri"/>
                <w:b w:val="1"/>
                <w:sz w:val="20"/>
                <w:rtl w:val="0"/>
              </w:rPr>
              <w:t xml:space="preserve">FR 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rFonts w:ascii="Calibri" w:hAnsi="Calibri"/>
                <w:b w:val="1"/>
                <w:sz w:val="20"/>
                <w:rtl w:val="0"/>
              </w:rPr>
              <w:t xml:space="preserve">Functional Requirement (Epic)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rFonts w:ascii="Calibri" w:hAnsi="Calibri"/>
                <w:b w:val="1"/>
                <w:sz w:val="20"/>
                <w:rtl w:val="0"/>
              </w:rPr>
              <w:t xml:space="preserve">Sub Requirement (Story / Sub-Task)</w:t>
            </w:r>
          </w:p>
        </w:tc>
      </w:tr>
      <w:tr>
        <w:tc>
          <w:tcPr>
            <w:tcW w:type="dxa" w:w="926"/>
            <w:vAlign w:val="center"/>
          </w:tcPr>
          <w:p>
            <w:r>
              <w:rPr>
                <w:rFonts w:ascii="Calibri" w:hAnsi="Calibri"/>
                <w:sz w:val="20"/>
              </w:rPr>
              <w:t>FR-1</w:t>
            </w:r>
          </w:p>
        </w:tc>
        <w:tc>
          <w:tcPr>
            <w:tcW w:type="dxa" w:w="3150"/>
            <w:vAlign w:val="center"/>
          </w:tcPr>
          <w:p>
            <w:r>
              <w:rPr>
                <w:rFonts w:ascii="Calibri" w:hAnsi="Calibri"/>
                <w:sz w:val="20"/>
              </w:rPr>
              <w:t>Incident Data Integrity</w:t>
            </w:r>
          </w:p>
        </w:tc>
        <w:tc>
          <w:tcPr>
            <w:tcW w:type="dxa" w:w="5248"/>
            <w:vAlign w:val="center"/>
          </w:tcPr>
          <w:p>
            <w:r>
              <w:rPr>
                <w:rFonts w:ascii="Calibri" w:hAnsi="Calibri"/>
                <w:sz w:val="20"/>
              </w:rPr>
              <w:t>Enforce consistent and accurate Incident data entry using UI Policies and Client Scripts.</w:t>
            </w:r>
          </w:p>
        </w:tc>
      </w:tr>
      <w:tr>
        <w:tc>
          <w:tcPr>
            <w:tcW w:type="dxa" w:w="926"/>
            <w:vAlign w:val="center"/>
          </w:tcPr>
          <w:p>
            <w:r>
              <w:rPr>
                <w:rFonts w:ascii="Calibri" w:hAnsi="Calibri"/>
                <w:sz w:val="20"/>
              </w:rPr>
              <w:t>FR-2</w:t>
            </w:r>
          </w:p>
        </w:tc>
        <w:tc>
          <w:tcPr>
            <w:tcW w:type="dxa" w:w="3150"/>
            <w:vAlign w:val="center"/>
          </w:tcPr>
          <w:p>
            <w:r>
              <w:rPr>
                <w:rFonts w:ascii="Calibri" w:hAnsi="Calibri"/>
                <w:sz w:val="20"/>
              </w:rPr>
              <w:t>High Impact Field Control</w:t>
            </w:r>
          </w:p>
        </w:tc>
        <w:tc>
          <w:tcPr>
            <w:tcW w:type="dxa" w:w="5248"/>
            <w:vAlign w:val="center"/>
          </w:tcPr>
          <w:p>
            <w:r>
              <w:rPr>
                <w:rFonts w:ascii="Calibri" w:hAnsi="Calibri"/>
                <w:sz w:val="20"/>
              </w:rPr>
              <w:t>When Impact is 1 - High, make Assignment group mandatory and apply the required UI Policy behavior.</w:t>
            </w:r>
          </w:p>
        </w:tc>
      </w:tr>
      <w:tr>
        <w:tc>
          <w:tcPr>
            <w:tcW w:type="dxa" w:w="926"/>
            <w:vAlign w:val="center"/>
          </w:tcPr>
          <w:p>
            <w:r>
              <w:rPr>
                <w:rFonts w:ascii="Calibri" w:hAnsi="Calibri"/>
                <w:sz w:val="20"/>
              </w:rPr>
              <w:t>FR-3</w:t>
            </w:r>
          </w:p>
        </w:tc>
        <w:tc>
          <w:tcPr>
            <w:tcW w:type="dxa" w:w="3150"/>
            <w:vAlign w:val="center"/>
          </w:tcPr>
          <w:p>
            <w:r>
              <w:rPr>
                <w:rFonts w:ascii="Calibri" w:hAnsi="Calibri"/>
                <w:sz w:val="20"/>
              </w:rPr>
              <w:t>Urgency Automation</w:t>
            </w:r>
          </w:p>
        </w:tc>
        <w:tc>
          <w:tcPr>
            <w:tcW w:type="dxa" w:w="5248"/>
            <w:vAlign w:val="center"/>
          </w:tcPr>
          <w:p>
            <w:r>
              <w:rPr>
                <w:rFonts w:ascii="Calibri" w:hAnsi="Calibri"/>
                <w:sz w:val="20"/>
              </w:rPr>
              <w:t>When Impact changes to High, automatically set Urgency to High and display an informational message.</w:t>
            </w:r>
          </w:p>
        </w:tc>
      </w:tr>
      <w:tr>
        <w:tc>
          <w:tcPr>
            <w:tcW w:type="dxa" w:w="926"/>
            <w:vAlign w:val="center"/>
          </w:tcPr>
          <w:p>
            <w:r>
              <w:rPr>
                <w:rFonts w:ascii="Calibri" w:hAnsi="Calibri"/>
                <w:sz w:val="20"/>
              </w:rPr>
              <w:t>FR-4</w:t>
            </w:r>
          </w:p>
        </w:tc>
        <w:tc>
          <w:tcPr>
            <w:tcW w:type="dxa" w:w="3150"/>
            <w:vAlign w:val="center"/>
          </w:tcPr>
          <w:p>
            <w:r>
              <w:rPr>
                <w:rFonts w:ascii="Calibri" w:hAnsi="Calibri"/>
                <w:sz w:val="20"/>
              </w:rPr>
              <w:t>Save-Time Validation</w:t>
            </w:r>
          </w:p>
        </w:tc>
        <w:tc>
          <w:tcPr>
            <w:tcW w:type="dxa" w:w="5248"/>
            <w:vAlign w:val="center"/>
          </w:tcPr>
          <w:p>
            <w:r>
              <w:rPr>
                <w:rFonts w:ascii="Calibri" w:hAnsi="Calibri"/>
                <w:sz w:val="20"/>
              </w:rPr>
              <w:t>Prevent saving a High Impact Incident when Assigned To is empty and display the required validation message.</w:t>
            </w:r>
          </w:p>
        </w:tc>
      </w:tr>
      <w:tr>
        <w:tc>
          <w:tcPr>
            <w:tcW w:type="dxa" w:w="926"/>
            <w:vAlign w:val="center"/>
          </w:tcPr>
          <w:p>
            <w:r>
              <w:rPr>
                <w:rFonts w:ascii="Calibri" w:hAnsi="Calibri"/>
                <w:sz w:val="20"/>
              </w:rPr>
              <w:t>FR-5</w:t>
            </w:r>
          </w:p>
        </w:tc>
        <w:tc>
          <w:tcPr>
            <w:tcW w:type="dxa" w:w="3150"/>
            <w:vAlign w:val="center"/>
          </w:tcPr>
          <w:p>
            <w:r>
              <w:rPr>
                <w:rFonts w:ascii="Calibri" w:hAnsi="Calibri"/>
                <w:sz w:val="20"/>
              </w:rPr>
              <w:t>List Edit Restriction</w:t>
            </w:r>
          </w:p>
        </w:tc>
        <w:tc>
          <w:tcPr>
            <w:tcW w:type="dxa" w:w="5248"/>
            <w:vAlign w:val="center"/>
          </w:tcPr>
          <w:p>
            <w:r>
              <w:rPr>
                <w:rFonts w:ascii="Calibri" w:hAnsi="Calibri"/>
                <w:sz w:val="20"/>
              </w:rPr>
              <w:t>Prevent direct State changes through Incident list editing and instruct the user to open the Incident form.</w:t>
            </w:r>
          </w:p>
        </w:tc>
      </w:tr>
      <w:tr>
        <w:tc>
          <w:tcPr>
            <w:tcW w:type="dxa" w:w="926"/>
            <w:vAlign w:val="center"/>
          </w:tcPr>
          <w:p>
            <w:r>
              <w:rPr>
                <w:rFonts w:ascii="Calibri" w:hAnsi="Calibri"/>
                <w:sz w:val="20"/>
              </w:rPr>
              <w:t>FR-6</w:t>
            </w:r>
          </w:p>
        </w:tc>
        <w:tc>
          <w:tcPr>
            <w:tcW w:type="dxa" w:w="3150"/>
            <w:vAlign w:val="center"/>
          </w:tcPr>
          <w:p>
            <w:r>
              <w:rPr>
                <w:rFonts w:ascii="Calibri" w:hAnsi="Calibri"/>
                <w:sz w:val="20"/>
              </w:rPr>
              <w:t>Form-Based Incident Update</w:t>
            </w:r>
          </w:p>
        </w:tc>
        <w:tc>
          <w:tcPr>
            <w:tcW w:type="dxa" w:w="5248"/>
            <w:vAlign w:val="center"/>
          </w:tcPr>
          <w:p>
            <w:r>
              <w:rPr>
                <w:rFonts w:ascii="Calibri" w:hAnsi="Calibri"/>
                <w:sz w:val="20"/>
              </w:rPr>
              <w:t>Allow State changes through the Incident form while retaining the configured UI Policy and Client Script rules.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rFonts w:ascii="Calibri" w:hAnsi="Calibri"/>
                <w:b w:val="1"/>
                <w:sz w:val="20"/>
                <w:rtl w:val="0"/>
              </w:rPr>
              <w:t xml:space="preserve">FR 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rFonts w:ascii="Calibri" w:hAnsi="Calibri"/>
                <w:b w:val="1"/>
                <w:sz w:val="20"/>
                <w:rtl w:val="0"/>
              </w:rPr>
              <w:t xml:space="preserve">Non-Functional Requirement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rFonts w:ascii="Calibri" w:hAnsi="Calibri"/>
                <w:b w:val="1"/>
                <w:sz w:val="20"/>
                <w:rtl w:val="0"/>
              </w:rPr>
              <w:t xml:space="preserve">Description</w:t>
            </w:r>
          </w:p>
        </w:tc>
      </w:tr>
      <w:tr>
        <w:tc>
          <w:tcPr>
            <w:tcW w:type="dxa" w:w="926"/>
            <w:vAlign w:val="center"/>
          </w:tcPr>
          <w:p>
            <w:r>
              <w:rPr>
                <w:rFonts w:ascii="Calibri" w:hAnsi="Calibri"/>
                <w:sz w:val="20"/>
              </w:rPr>
              <w:t>NFR-1</w:t>
            </w:r>
          </w:p>
        </w:tc>
        <w:tc>
          <w:tcPr>
            <w:tcW w:type="dxa" w:w="3464"/>
            <w:vAlign w:val="center"/>
          </w:tcPr>
          <w:p>
            <w:r>
              <w:rPr>
                <w:rFonts w:ascii="Calibri" w:hAnsi="Calibri"/>
                <w:sz w:val="20"/>
              </w:rPr>
              <w:t>Usability</w:t>
            </w:r>
          </w:p>
        </w:tc>
        <w:tc>
          <w:tcPr>
            <w:tcW w:type="dxa" w:w="4934"/>
            <w:vAlign w:val="center"/>
          </w:tcPr>
          <w:p>
            <w:r>
              <w:rPr>
                <w:rFonts w:ascii="Calibri" w:hAnsi="Calibri"/>
                <w:sz w:val="20"/>
              </w:rPr>
              <w:t>The Incident form provides clear, conditional field behavior and validation messages to guide users during data entry.</w:t>
            </w:r>
          </w:p>
        </w:tc>
      </w:tr>
      <w:tr>
        <w:tc>
          <w:tcPr>
            <w:tcW w:type="dxa" w:w="926"/>
            <w:vAlign w:val="center"/>
          </w:tcPr>
          <w:p>
            <w:r>
              <w:rPr>
                <w:rFonts w:ascii="Calibri" w:hAnsi="Calibri"/>
                <w:sz w:val="20"/>
              </w:rPr>
              <w:t>NFR-2</w:t>
            </w:r>
          </w:p>
        </w:tc>
        <w:tc>
          <w:tcPr>
            <w:tcW w:type="dxa" w:w="3464"/>
            <w:vAlign w:val="center"/>
          </w:tcPr>
          <w:p>
            <w:r>
              <w:rPr>
                <w:rFonts w:ascii="Calibri" w:hAnsi="Calibri"/>
                <w:sz w:val="20"/>
              </w:rPr>
              <w:t>Security</w:t>
            </w:r>
          </w:p>
        </w:tc>
        <w:tc>
          <w:tcPr>
            <w:tcW w:type="dxa" w:w="4934"/>
            <w:vAlign w:val="center"/>
          </w:tcPr>
          <w:p>
            <w:r>
              <w:rPr>
                <w:rFonts w:ascii="Calibri" w:hAnsi="Calibri"/>
                <w:sz w:val="20"/>
              </w:rPr>
              <w:t>Client-side controls restrict inappropriate State list editing and prevent submission when required Incident information is missing.</w:t>
            </w:r>
          </w:p>
        </w:tc>
      </w:tr>
      <w:tr>
        <w:tc>
          <w:tcPr>
            <w:tcW w:type="dxa" w:w="926"/>
            <w:vAlign w:val="center"/>
          </w:tcPr>
          <w:p>
            <w:r>
              <w:rPr>
                <w:rFonts w:ascii="Calibri" w:hAnsi="Calibri"/>
                <w:sz w:val="20"/>
              </w:rPr>
              <w:t>NFR-3</w:t>
            </w:r>
          </w:p>
        </w:tc>
        <w:tc>
          <w:tcPr>
            <w:tcW w:type="dxa" w:w="3464"/>
            <w:vAlign w:val="center"/>
          </w:tcPr>
          <w:p>
            <w:r>
              <w:rPr>
                <w:rFonts w:ascii="Calibri" w:hAnsi="Calibri"/>
                <w:sz w:val="20"/>
              </w:rPr>
              <w:t>Reliability</w:t>
            </w:r>
          </w:p>
        </w:tc>
        <w:tc>
          <w:tcPr>
            <w:tcW w:type="dxa" w:w="4934"/>
            <w:vAlign w:val="center"/>
          </w:tcPr>
          <w:p>
            <w:r>
              <w:rPr>
                <w:rFonts w:ascii="Calibri" w:hAnsi="Calibri"/>
                <w:sz w:val="20"/>
              </w:rPr>
              <w:t>UI Policies and Client Scripts consistently enforce the configured Incident business rules across the supported form interactions.</w:t>
            </w:r>
          </w:p>
        </w:tc>
      </w:tr>
      <w:tr>
        <w:tc>
          <w:tcPr>
            <w:tcW w:type="dxa" w:w="926"/>
            <w:vAlign w:val="center"/>
          </w:tcPr>
          <w:p>
            <w:r>
              <w:rPr>
                <w:rFonts w:ascii="Calibri" w:hAnsi="Calibri"/>
                <w:sz w:val="20"/>
              </w:rPr>
              <w:t>NFR-4</w:t>
            </w:r>
          </w:p>
        </w:tc>
        <w:tc>
          <w:tcPr>
            <w:tcW w:type="dxa" w:w="3464"/>
            <w:vAlign w:val="center"/>
          </w:tcPr>
          <w:p>
            <w:r>
              <w:rPr>
                <w:rFonts w:ascii="Calibri" w:hAnsi="Calibri"/>
                <w:sz w:val="20"/>
              </w:rPr>
              <w:t>Performance</w:t>
            </w:r>
          </w:p>
        </w:tc>
        <w:tc>
          <w:tcPr>
            <w:tcW w:type="dxa" w:w="4934"/>
            <w:vAlign w:val="center"/>
          </w:tcPr>
          <w:p>
            <w:r>
              <w:rPr>
                <w:rFonts w:ascii="Calibri" w:hAnsi="Calibri"/>
                <w:sz w:val="20"/>
              </w:rPr>
              <w:t>The solution uses lightweight client-side controls so field updates and validations occur directly during Incident interaction.</w:t>
            </w:r>
          </w:p>
        </w:tc>
      </w:tr>
      <w:tr>
        <w:tc>
          <w:tcPr>
            <w:tcW w:type="dxa" w:w="926"/>
            <w:vAlign w:val="center"/>
          </w:tcPr>
          <w:p>
            <w:r>
              <w:rPr>
                <w:rFonts w:ascii="Calibri" w:hAnsi="Calibri"/>
                <w:sz w:val="20"/>
              </w:rPr>
              <w:t>NFR-5</w:t>
            </w:r>
          </w:p>
        </w:tc>
        <w:tc>
          <w:tcPr>
            <w:tcW w:type="dxa" w:w="3464"/>
            <w:vAlign w:val="center"/>
          </w:tcPr>
          <w:p>
            <w:r>
              <w:rPr>
                <w:rFonts w:ascii="Calibri" w:hAnsi="Calibri"/>
                <w:sz w:val="20"/>
              </w:rPr>
              <w:t>Availability</w:t>
            </w:r>
          </w:p>
        </w:tc>
        <w:tc>
          <w:tcPr>
            <w:tcW w:type="dxa" w:w="4934"/>
            <w:vAlign w:val="center"/>
          </w:tcPr>
          <w:p>
            <w:r>
              <w:rPr>
                <w:rFonts w:ascii="Calibri" w:hAnsi="Calibri"/>
                <w:sz w:val="20"/>
              </w:rPr>
              <w:t>The configured controls operate as part of the ServiceNow Incident form and list interactions whenever the ServiceNow interface is available.</w:t>
            </w:r>
          </w:p>
        </w:tc>
      </w:tr>
      <w:tr>
        <w:tc>
          <w:tcPr>
            <w:tcW w:type="dxa" w:w="926"/>
            <w:vAlign w:val="center"/>
          </w:tcPr>
          <w:p>
            <w:r>
              <w:rPr>
                <w:rFonts w:ascii="Calibri" w:hAnsi="Calibri"/>
                <w:sz w:val="20"/>
              </w:rPr>
              <w:t>NFR-6</w:t>
            </w:r>
          </w:p>
        </w:tc>
        <w:tc>
          <w:tcPr>
            <w:tcW w:type="dxa" w:w="3464"/>
            <w:vAlign w:val="center"/>
          </w:tcPr>
          <w:p>
            <w:r>
              <w:rPr>
                <w:rFonts w:ascii="Calibri" w:hAnsi="Calibri"/>
                <w:sz w:val="20"/>
              </w:rPr>
              <w:t>Scalability</w:t>
            </w:r>
          </w:p>
        </w:tc>
        <w:tc>
          <w:tcPr>
            <w:tcW w:type="dxa" w:w="4934"/>
            <w:vAlign w:val="center"/>
          </w:tcPr>
          <w:p>
            <w:r>
              <w:rPr>
                <w:rFonts w:ascii="Calibri" w:hAnsi="Calibri"/>
                <w:sz w:val="20"/>
              </w:rPr>
              <w:t>The solution is configuration-based and can be extended with additional UI Policies and Client Scripts for other Incident rules.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