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Arial" w:eastAsia="Arial" w:hAnsi="Calibri"/>
                <w:sz w:val="18"/>
                <w:rtl w:val="0"/>
              </w:rPr>
              <w:t xml:space="preserve">Date</w:t>
            </w:r>
          </w:p>
        </w:tc>
        <w:tc>
          <w:tcPr>
            <w:vAlign w:val="center"/>
          </w:tcPr>
          <w:p>
            <w:r>
              <w:rPr>
                <w:rFonts w:ascii="Calibri" w:hAnsi="Calibri"/>
                <w:sz w:val="18"/>
              </w:rPr>
              <w:t>31 January 2025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Arial" w:eastAsia="Arial" w:hAnsi="Calibri"/>
                <w:sz w:val="18"/>
                <w:rtl w:val="0"/>
              </w:rPr>
              <w:t xml:space="preserve">Team ID</w:t>
            </w:r>
          </w:p>
        </w:tc>
        <w:tc>
          <w:tcPr>
            <w:vAlign w:val="center"/>
          </w:tcPr>
          <w:p>
            <w:r>
              <w:rPr>
                <w:rFonts w:ascii="Calibri" w:hAnsi="Calibri"/>
                <w:sz w:val="18"/>
              </w:rPr>
              <w:t>SWTID-2026-5003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Arial" w:eastAsia="Arial" w:hAnsi="Calibri"/>
                <w:sz w:val="18"/>
                <w:rtl w:val="0"/>
              </w:rPr>
              <w:t xml:space="preserve">Project Name</w:t>
            </w:r>
          </w:p>
        </w:tc>
        <w:tc>
          <w:tcPr>
            <w:vAlign w:val="center"/>
          </w:tcPr>
          <w:p>
            <w:r>
              <w:rPr>
                <w:rFonts w:ascii="Calibri" w:hAnsi="Calibri"/>
                <w:sz w:val="18"/>
              </w:rPr>
              <w:t>Implement Client Script &amp; UI Policy (Incident)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Arial" w:eastAsia="Arial" w:hAnsi="Calibri"/>
                <w:sz w:val="18"/>
                <w:rtl w:val="0"/>
              </w:rPr>
              <w:t xml:space="preserve">Maximum Marks</w:t>
            </w:r>
          </w:p>
        </w:tc>
        <w:tc>
          <w:tcPr>
            <w:vAlign w:val="center"/>
          </w:tcPr>
          <w:p>
            <w:r>
              <w:rPr>
                <w:rFonts w:ascii="Calibri" w:hAnsi="Calibri"/>
                <w:sz w:val="18"/>
              </w:rPr>
              <w:t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>
        <w:t>The deliverable describes the ServiceNow Incident form and list architecture using UI Policies and Client Scripts.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</w:rPr>
      </w:pPr>
      <w:r>
        <w:t>Architecture: ServiceNow Incident Form/List → UI Policies &amp; Client Scripts → Incident data validation and field control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</w:rPr>
      </w:pPr>
      <w:r>
        <w:t>Project basis: Implement Client Script &amp; UI Policy (Incident)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Guidelines: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Include all the processes (As an application logic / Technology Block)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Provide infrastructural demarcation (Local / Cloud)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external interfaces (third party API’s etc.)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Data Storage components / services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interface to machine learning models (if applicable)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b="0" l="0" r="0" t="0"/>
            <wp:wrapSquare wrapText="bothSides" distB="0" distT="0" distL="114300" distR="114300"/>
            <wp:docPr descr="flow" id="14" name="image1.png"/>
            <a:graphic>
              <a:graphicData uri="http://schemas.openxmlformats.org/drawingml/2006/picture">
                <pic:pic>
                  <pic:nvPicPr>
                    <pic:cNvPr descr="flow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0"/>
        <w:gridCol w:w="4020"/>
        <w:gridCol w:w="5205"/>
        <w:gridCol w:w="4140"/>
        <w:tblGridChange w:id="0">
          <w:tblGrid>
            <w:gridCol w:w="840"/>
            <w:gridCol w:w="402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Calibri" w:cs="Arial" w:eastAsia="Arial" w:hAnsi="Calibri"/>
                <w:b w:val="1"/>
                <w:sz w:val="18"/>
                <w:rtl w:val="0"/>
              </w:rPr>
              <w:t xml:space="preserve">S.No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Calibri" w:cs="Arial" w:eastAsia="Arial" w:hAnsi="Calibri"/>
                <w:b w:val="1"/>
                <w:sz w:val="18"/>
                <w:rtl w:val="0"/>
              </w:rPr>
              <w:t xml:space="preserve">Component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Calibri" w:cs="Arial" w:eastAsia="Arial" w:hAnsi="Calibri"/>
                <w:b w:val="1"/>
                <w:sz w:val="18"/>
                <w:rtl w:val="0"/>
              </w:rPr>
              <w:t xml:space="preserve">Description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Calibri" w:cs="Arial" w:eastAsia="Arial" w:hAnsi="Calibri"/>
                <w:b w:val="1"/>
                <w:sz w:val="18"/>
                <w:rtl w:val="0"/>
              </w:rPr>
              <w:t xml:space="preserve">Technology</w:t>
            </w:r>
          </w:p>
        </w:tc>
      </w:tr>
      <w:tr>
        <w:tc>
          <w:tcPr>
            <w:tcW w:type="dxa" w:w="840"/>
            <w:vAlign w:val="center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4020"/>
            <w:vAlign w:val="center"/>
          </w:tcPr>
          <w:p>
            <w:r>
              <w:rPr>
                <w:rFonts w:ascii="Calibri" w:hAnsi="Calibri"/>
                <w:sz w:val="18"/>
              </w:rPr>
              <w:t>User Interface</w:t>
            </w:r>
          </w:p>
        </w:tc>
        <w:tc>
          <w:tcPr>
            <w:tcW w:type="dxa" w:w="5205"/>
            <w:vAlign w:val="center"/>
          </w:tcPr>
          <w:p>
            <w:r>
              <w:rPr>
                <w:rFonts w:ascii="Calibri" w:hAnsi="Calibri"/>
                <w:sz w:val="18"/>
              </w:rPr>
              <w:t>ServiceNow Incident form and Incident list are used for data entry, field control, validation, and State editing.</w:t>
            </w:r>
          </w:p>
        </w:tc>
        <w:tc>
          <w:tcPr>
            <w:tcW w:type="dxa" w:w="4140"/>
            <w:vAlign w:val="center"/>
          </w:tcPr>
          <w:p>
            <w:r>
              <w:rPr>
                <w:rFonts w:ascii="Calibri" w:hAnsi="Calibri"/>
                <w:sz w:val="18"/>
              </w:rPr>
              <w:t>ServiceNow Incident Form / Incident List</w:t>
            </w:r>
          </w:p>
        </w:tc>
      </w:tr>
      <w:tr>
        <w:tc>
          <w:tcPr>
            <w:tcW w:type="dxa" w:w="840"/>
            <w:vAlign w:val="center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4020"/>
            <w:vAlign w:val="center"/>
          </w:tcPr>
          <w:p>
            <w:r>
              <w:rPr>
                <w:rFonts w:ascii="Calibri" w:hAnsi="Calibri"/>
                <w:sz w:val="18"/>
              </w:rPr>
              <w:t>Application Logic-1</w:t>
            </w:r>
          </w:p>
        </w:tc>
        <w:tc>
          <w:tcPr>
            <w:tcW w:type="dxa" w:w="5205"/>
            <w:vAlign w:val="center"/>
          </w:tcPr>
          <w:p>
            <w:r>
              <w:rPr>
                <w:rFonts w:ascii="Calibri" w:hAnsi="Calibri"/>
                <w:sz w:val="18"/>
              </w:rPr>
              <w:t>Conditional field behavior for High Impact Incidents, including mandatory Assignment group and reverse behavior.</w:t>
            </w:r>
          </w:p>
        </w:tc>
        <w:tc>
          <w:tcPr>
            <w:tcW w:type="dxa" w:w="4140"/>
            <w:vAlign w:val="center"/>
          </w:tcPr>
          <w:p>
            <w:r>
              <w:rPr>
                <w:rFonts w:ascii="Calibri" w:hAnsi="Calibri"/>
                <w:sz w:val="18"/>
              </w:rPr>
              <w:t>ServiceNow UI Policy – High Impact Control</w:t>
            </w:r>
          </w:p>
        </w:tc>
      </w:tr>
      <w:tr>
        <w:tc>
          <w:tcPr>
            <w:tcW w:type="dxa" w:w="840"/>
            <w:vAlign w:val="center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4020"/>
            <w:vAlign w:val="center"/>
          </w:tcPr>
          <w:p>
            <w:r>
              <w:rPr>
                <w:rFonts w:ascii="Calibri" w:hAnsi="Calibri"/>
                <w:sz w:val="18"/>
              </w:rPr>
              <w:t>Application Logic-2</w:t>
            </w:r>
          </w:p>
        </w:tc>
        <w:tc>
          <w:tcPr>
            <w:tcW w:type="dxa" w:w="5205"/>
            <w:vAlign w:val="center"/>
          </w:tcPr>
          <w:p>
            <w:r>
              <w:rPr>
                <w:rFonts w:ascii="Calibri" w:hAnsi="Calibri"/>
                <w:sz w:val="18"/>
              </w:rPr>
              <w:t>Controls the Urgency field when Impact is High by making it read-only.</w:t>
            </w:r>
          </w:p>
        </w:tc>
        <w:tc>
          <w:tcPr>
            <w:tcW w:type="dxa" w:w="4140"/>
            <w:vAlign w:val="center"/>
          </w:tcPr>
          <w:p>
            <w:r>
              <w:rPr>
                <w:rFonts w:ascii="Calibri" w:hAnsi="Calibri"/>
                <w:sz w:val="18"/>
              </w:rPr>
              <w:t>ServiceNow UI Policy Action</w:t>
            </w:r>
          </w:p>
        </w:tc>
      </w:tr>
      <w:tr>
        <w:tc>
          <w:tcPr>
            <w:tcW w:type="dxa" w:w="840"/>
            <w:vAlign w:val="center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4020"/>
            <w:vAlign w:val="center"/>
          </w:tcPr>
          <w:p>
            <w:r>
              <w:rPr>
                <w:rFonts w:ascii="Calibri" w:hAnsi="Calibri"/>
                <w:sz w:val="18"/>
              </w:rPr>
              <w:t>Application Logic-3</w:t>
            </w:r>
          </w:p>
        </w:tc>
        <w:tc>
          <w:tcPr>
            <w:tcW w:type="dxa" w:w="5205"/>
            <w:vAlign w:val="center"/>
          </w:tcPr>
          <w:p>
            <w:r>
              <w:rPr>
                <w:rFonts w:ascii="Calibri" w:hAnsi="Calibri"/>
                <w:sz w:val="18"/>
              </w:rPr>
              <w:t>Automatically sets Urgency to High when Impact changes to High.</w:t>
            </w:r>
          </w:p>
        </w:tc>
        <w:tc>
          <w:tcPr>
            <w:tcW w:type="dxa" w:w="4140"/>
            <w:vAlign w:val="center"/>
          </w:tcPr>
          <w:p>
            <w:r>
              <w:rPr>
                <w:rFonts w:ascii="Calibri" w:hAnsi="Calibri"/>
                <w:sz w:val="18"/>
              </w:rPr>
              <w:t>ServiceNow onChange Client Script</w:t>
            </w:r>
          </w:p>
        </w:tc>
      </w:tr>
      <w:tr>
        <w:tc>
          <w:tcPr>
            <w:tcW w:type="dxa" w:w="840"/>
            <w:vAlign w:val="center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4020"/>
            <w:vAlign w:val="center"/>
          </w:tcPr>
          <w:p>
            <w:r>
              <w:rPr>
                <w:rFonts w:ascii="Calibri" w:hAnsi="Calibri"/>
                <w:sz w:val="18"/>
              </w:rPr>
              <w:t>Database</w:t>
            </w:r>
          </w:p>
        </w:tc>
        <w:tc>
          <w:tcPr>
            <w:tcW w:type="dxa" w:w="5205"/>
            <w:vAlign w:val="center"/>
          </w:tcPr>
          <w:p>
            <w:r>
              <w:rPr>
                <w:rFonts w:ascii="Calibri" w:hAnsi="Calibri"/>
                <w:sz w:val="18"/>
              </w:rPr>
              <w:t>Incident records are the application data being validated and updated by the configured controls.</w:t>
            </w:r>
          </w:p>
        </w:tc>
        <w:tc>
          <w:tcPr>
            <w:tcW w:type="dxa" w:w="4140"/>
            <w:vAlign w:val="center"/>
          </w:tcPr>
          <w:p>
            <w:r>
              <w:rPr>
                <w:rFonts w:ascii="Calibri" w:hAnsi="Calibri"/>
                <w:sz w:val="18"/>
              </w:rPr>
              <w:t>ServiceNow Incident records</w:t>
            </w:r>
          </w:p>
        </w:tc>
      </w:tr>
      <w:tr>
        <w:tc>
          <w:tcPr>
            <w:tcW w:type="dxa" w:w="840"/>
            <w:vAlign w:val="center"/>
          </w:tcPr>
          <w:p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4020"/>
            <w:vAlign w:val="center"/>
          </w:tcPr>
          <w:p>
            <w:r>
              <w:rPr>
                <w:rFonts w:ascii="Calibri" w:hAnsi="Calibri"/>
                <w:sz w:val="18"/>
              </w:rPr>
              <w:t>Cloud Database</w:t>
            </w:r>
          </w:p>
        </w:tc>
        <w:tc>
          <w:tcPr>
            <w:tcW w:type="dxa" w:w="5205"/>
            <w:vAlign w:val="center"/>
          </w:tcPr>
          <w:p>
            <w:r>
              <w:rPr>
                <w:rFonts w:ascii="Calibri" w:hAnsi="Calibri"/>
                <w:sz w:val="18"/>
              </w:rPr>
              <w:t>The project document does not specify a separate cloud database service.</w:t>
            </w:r>
          </w:p>
        </w:tc>
        <w:tc>
          <w:tcPr>
            <w:tcW w:type="dxa" w:w="4140"/>
            <w:vAlign w:val="center"/>
          </w:tcPr>
          <w:p>
            <w:r>
              <w:rPr>
                <w:rFonts w:ascii="Calibri" w:hAnsi="Calibri"/>
                <w:sz w:val="18"/>
              </w:rPr>
              <w:t>Not specified in project</w:t>
            </w:r>
          </w:p>
        </w:tc>
      </w:tr>
      <w:tr>
        <w:tc>
          <w:tcPr>
            <w:tcW w:type="dxa" w:w="840"/>
            <w:vAlign w:val="center"/>
          </w:tcPr>
          <w:p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4020"/>
            <w:vAlign w:val="center"/>
          </w:tcPr>
          <w:p>
            <w:r>
              <w:rPr>
                <w:rFonts w:ascii="Calibri" w:hAnsi="Calibri"/>
                <w:sz w:val="18"/>
              </w:rPr>
              <w:t>File Storage</w:t>
            </w:r>
          </w:p>
        </w:tc>
        <w:tc>
          <w:tcPr>
            <w:tcW w:type="dxa" w:w="5205"/>
            <w:vAlign w:val="center"/>
          </w:tcPr>
          <w:p>
            <w:r>
              <w:rPr>
                <w:rFonts w:ascii="Calibri" w:hAnsi="Calibri"/>
                <w:sz w:val="18"/>
              </w:rPr>
              <w:t>The project does not specify a separate file-storage component.</w:t>
            </w:r>
          </w:p>
        </w:tc>
        <w:tc>
          <w:tcPr>
            <w:tcW w:type="dxa" w:w="4140"/>
            <w:vAlign w:val="center"/>
          </w:tcPr>
          <w:p>
            <w:r>
              <w:rPr>
                <w:rFonts w:ascii="Calibri" w:hAnsi="Calibri"/>
                <w:sz w:val="18"/>
              </w:rPr>
              <w:t>Not specified in project</w:t>
            </w:r>
          </w:p>
        </w:tc>
      </w:tr>
      <w:tr>
        <w:tc>
          <w:tcPr>
            <w:tcW w:type="dxa" w:w="840"/>
            <w:vAlign w:val="center"/>
          </w:tcPr>
          <w:p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4020"/>
            <w:vAlign w:val="center"/>
          </w:tcPr>
          <w:p>
            <w:r>
              <w:rPr>
                <w:rFonts w:ascii="Calibri" w:hAnsi="Calibri"/>
                <w:sz w:val="18"/>
              </w:rPr>
              <w:t>External API-1</w:t>
            </w:r>
          </w:p>
        </w:tc>
        <w:tc>
          <w:tcPr>
            <w:tcW w:type="dxa" w:w="5205"/>
            <w:vAlign w:val="center"/>
          </w:tcPr>
          <w:p>
            <w:r>
              <w:rPr>
                <w:rFonts w:ascii="Calibri" w:hAnsi="Calibri"/>
                <w:sz w:val="18"/>
              </w:rPr>
              <w:t>No external API is described or used in the project.</w:t>
            </w:r>
          </w:p>
        </w:tc>
        <w:tc>
          <w:tcPr>
            <w:tcW w:type="dxa" w:w="4140"/>
            <w:vAlign w:val="center"/>
          </w:tcPr>
          <w:p>
            <w:r>
              <w:rPr>
                <w:rFonts w:ascii="Calibri" w:hAnsi="Calibri"/>
                <w:sz w:val="18"/>
              </w:rPr>
              <w:t>Not applicable</w:t>
            </w:r>
          </w:p>
        </w:tc>
      </w:tr>
      <w:tr>
        <w:tc>
          <w:tcPr>
            <w:tcW w:type="dxa" w:w="840"/>
            <w:vAlign w:val="center"/>
          </w:tcPr>
          <w:p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4020"/>
            <w:vAlign w:val="center"/>
          </w:tcPr>
          <w:p>
            <w:r>
              <w:rPr>
                <w:rFonts w:ascii="Calibri" w:hAnsi="Calibri"/>
                <w:sz w:val="18"/>
              </w:rPr>
              <w:t>External API-2</w:t>
            </w:r>
          </w:p>
        </w:tc>
        <w:tc>
          <w:tcPr>
            <w:tcW w:type="dxa" w:w="5205"/>
            <w:vAlign w:val="center"/>
          </w:tcPr>
          <w:p>
            <w:r>
              <w:rPr>
                <w:rFonts w:ascii="Calibri" w:hAnsi="Calibri"/>
                <w:sz w:val="18"/>
              </w:rPr>
              <w:t>No second external API is described or used in the project.</w:t>
            </w:r>
          </w:p>
        </w:tc>
        <w:tc>
          <w:tcPr>
            <w:tcW w:type="dxa" w:w="4140"/>
            <w:vAlign w:val="center"/>
          </w:tcPr>
          <w:p>
            <w:r>
              <w:rPr>
                <w:rFonts w:ascii="Calibri" w:hAnsi="Calibri"/>
                <w:sz w:val="18"/>
              </w:rPr>
              <w:t>Not applicable</w:t>
            </w:r>
          </w:p>
        </w:tc>
      </w:tr>
      <w:tr>
        <w:tc>
          <w:tcPr>
            <w:tcW w:type="dxa" w:w="840"/>
            <w:vAlign w:val="center"/>
          </w:tcPr>
          <w:p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4020"/>
            <w:vAlign w:val="center"/>
          </w:tcPr>
          <w:p>
            <w:r>
              <w:rPr>
                <w:rFonts w:ascii="Calibri" w:hAnsi="Calibri"/>
                <w:sz w:val="18"/>
              </w:rPr>
              <w:t>Machine Learning Model</w:t>
            </w:r>
          </w:p>
        </w:tc>
        <w:tc>
          <w:tcPr>
            <w:tcW w:type="dxa" w:w="5205"/>
            <w:vAlign w:val="center"/>
          </w:tcPr>
          <w:p>
            <w:r>
              <w:rPr>
                <w:rFonts w:ascii="Calibri" w:hAnsi="Calibri"/>
                <w:sz w:val="18"/>
              </w:rPr>
              <w:t>The project is based on ServiceNow UI Policies and Client Scripts; no machine learning model is described.</w:t>
            </w:r>
          </w:p>
        </w:tc>
        <w:tc>
          <w:tcPr>
            <w:tcW w:type="dxa" w:w="4140"/>
            <w:vAlign w:val="center"/>
          </w:tcPr>
          <w:p>
            <w:r>
              <w:rPr>
                <w:rFonts w:ascii="Calibri" w:hAnsi="Calibri"/>
                <w:sz w:val="18"/>
              </w:rPr>
              <w:t>Not applicable</w:t>
            </w:r>
          </w:p>
        </w:tc>
      </w:tr>
      <w:tr>
        <w:tc>
          <w:tcPr>
            <w:tcW w:type="dxa" w:w="840"/>
            <w:vAlign w:val="center"/>
          </w:tcPr>
          <w:p>
            <w:r>
              <w:rPr>
                <w:rFonts w:ascii="Calibri" w:hAnsi="Calibri"/>
                <w:sz w:val="18"/>
              </w:rPr>
              <w:t>11</w:t>
            </w:r>
          </w:p>
        </w:tc>
        <w:tc>
          <w:tcPr>
            <w:tcW w:type="dxa" w:w="4020"/>
            <w:vAlign w:val="center"/>
          </w:tcPr>
          <w:p>
            <w:r>
              <w:rPr>
                <w:rFonts w:ascii="Calibri" w:hAnsi="Calibri"/>
                <w:sz w:val="18"/>
              </w:rPr>
              <w:t>Infrastructure (Server / Cloud)</w:t>
            </w:r>
          </w:p>
        </w:tc>
        <w:tc>
          <w:tcPr>
            <w:tcW w:type="dxa" w:w="5205"/>
            <w:vAlign w:val="center"/>
          </w:tcPr>
          <w:p>
            <w:r>
              <w:rPr>
                <w:rFonts w:ascii="Calibri" w:hAnsi="Calibri"/>
                <w:sz w:val="18"/>
              </w:rPr>
              <w:t>The solution is configured and tested within a ServiceNow instance using Incident forms and lists.</w:t>
            </w:r>
          </w:p>
        </w:tc>
        <w:tc>
          <w:tcPr>
            <w:tcW w:type="dxa" w:w="4140"/>
            <w:vAlign w:val="center"/>
          </w:tcPr>
          <w:p>
            <w:r>
              <w:rPr>
                <w:rFonts w:ascii="Calibri" w:hAnsi="Calibri"/>
                <w:sz w:val="18"/>
              </w:rPr>
              <w:t>ServiceNow instance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Calibri" w:cs="Arial" w:eastAsia="Arial" w:hAnsi="Calibri"/>
                <w:b w:val="1"/>
                <w:sz w:val="18"/>
                <w:rtl w:val="0"/>
              </w:rPr>
              <w:t xml:space="preserve">S.No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Calibri" w:cs="Arial" w:eastAsia="Arial" w:hAnsi="Calibri"/>
                <w:b w:val="1"/>
                <w:sz w:val="18"/>
                <w:rtl w:val="0"/>
              </w:rPr>
              <w:t xml:space="preserve">Characteristics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Calibri" w:cs="Arial" w:eastAsia="Arial" w:hAnsi="Calibri"/>
                <w:b w:val="1"/>
                <w:sz w:val="18"/>
                <w:rtl w:val="0"/>
              </w:rPr>
              <w:t xml:space="preserve">Description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Calibri" w:cs="Arial" w:eastAsia="Arial" w:hAnsi="Calibri"/>
                <w:b w:val="1"/>
                <w:sz w:val="18"/>
                <w:rtl w:val="0"/>
              </w:rPr>
              <w:t xml:space="preserve">Technology </w:t>
            </w:r>
          </w:p>
        </w:tc>
      </w:tr>
      <w:tr>
        <w:tc>
          <w:tcPr>
            <w:tcW w:type="dxa" w:w="826"/>
            <w:vAlign w:val="center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Calibri" w:hAnsi="Calibri"/>
                <w:sz w:val="18"/>
              </w:rPr>
              <w:t>Open-Source Frameworks</w:t>
            </w:r>
          </w:p>
        </w:tc>
        <w:tc>
          <w:tcPr>
            <w:tcW w:type="dxa" w:w="5170"/>
            <w:vAlign w:val="center"/>
          </w:tcPr>
          <w:p>
            <w:r>
              <w:rPr>
                <w:rFonts w:ascii="Calibri" w:hAnsi="Calibri"/>
                <w:sz w:val="18"/>
              </w:rPr>
              <w:t>The project document does not identify an open-source framework. It uses native ServiceNow UI configuration and client-side scripting.</w:t>
            </w:r>
          </w:p>
        </w:tc>
        <w:tc>
          <w:tcPr>
            <w:tcW w:type="dxa" w:w="4097"/>
            <w:vAlign w:val="center"/>
          </w:tcPr>
          <w:p>
            <w:r>
              <w:rPr>
                <w:rFonts w:ascii="Calibri" w:hAnsi="Calibri"/>
                <w:sz w:val="18"/>
              </w:rPr>
              <w:t>ServiceNow UI Policies / Client Scripts</w:t>
            </w:r>
          </w:p>
        </w:tc>
      </w:tr>
      <w:tr>
        <w:tc>
          <w:tcPr>
            <w:tcW w:type="dxa" w:w="826"/>
            <w:vAlign w:val="center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Calibri" w:hAnsi="Calibri"/>
                <w:sz w:val="18"/>
              </w:rPr>
              <w:t>Security Implementations</w:t>
            </w:r>
          </w:p>
        </w:tc>
        <w:tc>
          <w:tcPr>
            <w:tcW w:type="dxa" w:w="5170"/>
            <w:vAlign w:val="center"/>
          </w:tcPr>
          <w:p>
            <w:r>
              <w:rPr>
                <w:rFonts w:ascii="Calibri" w:hAnsi="Calibri"/>
                <w:sz w:val="18"/>
              </w:rPr>
              <w:t>The project enforces controlled Incident updates by validating required information before submission and blocking direct State list editing.</w:t>
            </w:r>
          </w:p>
        </w:tc>
        <w:tc>
          <w:tcPr>
            <w:tcW w:type="dxa" w:w="4097"/>
            <w:vAlign w:val="center"/>
          </w:tcPr>
          <w:p>
            <w:r>
              <w:rPr>
                <w:rFonts w:ascii="Calibri" w:hAnsi="Calibri"/>
                <w:sz w:val="18"/>
              </w:rPr>
              <w:t>onSubmit Client Script; onCellEdit Client Script</w:t>
            </w:r>
          </w:p>
        </w:tc>
      </w:tr>
      <w:tr>
        <w:tc>
          <w:tcPr>
            <w:tcW w:type="dxa" w:w="826"/>
            <w:vAlign w:val="center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Calibri" w:hAnsi="Calibri"/>
                <w:sz w:val="18"/>
              </w:rPr>
              <w:t>Scalable Architecture</w:t>
            </w:r>
          </w:p>
        </w:tc>
        <w:tc>
          <w:tcPr>
            <w:tcW w:type="dxa" w:w="5170"/>
            <w:vAlign w:val="center"/>
          </w:tcPr>
          <w:p>
            <w:r>
              <w:rPr>
                <w:rFonts w:ascii="Calibri" w:hAnsi="Calibri"/>
                <w:sz w:val="18"/>
              </w:rPr>
              <w:t>The controls are configuration-based and can be extended with additional UI Policies and Client Scripts for Incident rules.</w:t>
            </w:r>
          </w:p>
        </w:tc>
        <w:tc>
          <w:tcPr>
            <w:tcW w:type="dxa" w:w="4097"/>
            <w:vAlign w:val="center"/>
          </w:tcPr>
          <w:p>
            <w:r>
              <w:rPr>
                <w:rFonts w:ascii="Calibri" w:hAnsi="Calibri"/>
                <w:sz w:val="18"/>
              </w:rPr>
              <w:t>ServiceNow UI Policies and Client Scripts</w:t>
            </w:r>
          </w:p>
        </w:tc>
      </w:tr>
      <w:tr>
        <w:tc>
          <w:tcPr>
            <w:tcW w:type="dxa" w:w="826"/>
            <w:vAlign w:val="center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Calibri" w:hAnsi="Calibri"/>
                <w:sz w:val="18"/>
              </w:rPr>
              <w:t>Availability</w:t>
            </w:r>
          </w:p>
        </w:tc>
        <w:tc>
          <w:tcPr>
            <w:tcW w:type="dxa" w:w="5170"/>
            <w:vAlign w:val="center"/>
          </w:tcPr>
          <w:p>
            <w:r>
              <w:rPr>
                <w:rFonts w:ascii="Calibri" w:hAnsi="Calibri"/>
                <w:sz w:val="18"/>
              </w:rPr>
              <w:t>The project operates within the ServiceNow instance and uses the Incident form/list interface.</w:t>
            </w:r>
          </w:p>
        </w:tc>
        <w:tc>
          <w:tcPr>
            <w:tcW w:type="dxa" w:w="4097"/>
            <w:vAlign w:val="center"/>
          </w:tcPr>
          <w:p>
            <w:r>
              <w:rPr>
                <w:rFonts w:ascii="Calibri" w:hAnsi="Calibri"/>
                <w:sz w:val="18"/>
              </w:rPr>
              <w:t>ServiceNow instance</w:t>
            </w:r>
          </w:p>
        </w:tc>
      </w:tr>
      <w:tr>
        <w:tc>
          <w:tcPr>
            <w:tcW w:type="dxa" w:w="826"/>
            <w:vAlign w:val="center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Calibri" w:hAnsi="Calibri"/>
                <w:sz w:val="18"/>
              </w:rPr>
              <w:t>Performance</w:t>
            </w:r>
          </w:p>
        </w:tc>
        <w:tc>
          <w:tcPr>
            <w:tcW w:type="dxa" w:w="5170"/>
            <w:vAlign w:val="center"/>
          </w:tcPr>
          <w:p>
            <w:r>
              <w:rPr>
                <w:rFonts w:ascii="Calibri" w:hAnsi="Calibri"/>
                <w:sz w:val="18"/>
              </w:rPr>
              <w:t>The solution uses lightweight client-side field controls and validation during Incident interaction.</w:t>
            </w:r>
          </w:p>
        </w:tc>
        <w:tc>
          <w:tcPr>
            <w:tcW w:type="dxa" w:w="4097"/>
            <w:vAlign w:val="center"/>
          </w:tcPr>
          <w:p>
            <w:r>
              <w:rPr>
                <w:rFonts w:ascii="Calibri" w:hAnsi="Calibri"/>
                <w:sz w:val="18"/>
              </w:rPr>
              <w:t>ServiceNow Client Scripts and UI Policies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References: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</w:rPr>
      </w:pPr>
      <w:r>
        <w:t>Implement Client Script &amp; UI Policy (Incident) – project document</w:t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</w:rPr>
      </w:pPr>
      <w:r/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</w:rPr>
      </w:pPr>
      <w:r/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</w:rPr>
      </w:pPr>
      <w:r/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</w:rPr>
      </w:pPr>
      <w:r/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sectPr>
      <w:headerReference w:type="default" r:id="rId15"/>
      <w:footerReference w:type="default" r:id="rId16"/>
      <w:headerReference w:type="first" r:id="rId17"/>
      <w:footerReference w:type="first" r:id="rId18"/>
      <w:headerReference w:type="even" r:id="rId19"/>
      <w:footerReference w:type="even" r:id="rId20"/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c4model.com/" TargetMode="External"/><Relationship Id="rId13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www.ibm.com/cloud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ibm.com/patterns/ai-powered-backend-system-for-order-processing-during-pandemics/" TargetMode="External"/><Relationship Id="rId8" Type="http://schemas.openxmlformats.org/officeDocument/2006/relationships/image" Target="media/image2.png"/><Relationship Id="rId15" Type="http://schemas.openxmlformats.org/officeDocument/2006/relationships/header" Target="header1.xml"/><Relationship Id="rId16" Type="http://schemas.openxmlformats.org/officeDocument/2006/relationships/footer" Target="footer1.xml"/><Relationship Id="rId17" Type="http://schemas.openxmlformats.org/officeDocument/2006/relationships/header" Target="header2.xml"/><Relationship Id="rId18" Type="http://schemas.openxmlformats.org/officeDocument/2006/relationships/footer" Target="footer2.xml"/><Relationship Id="rId19" Type="http://schemas.openxmlformats.org/officeDocument/2006/relationships/header" Target="header3.xml"/><Relationship Id="rId2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