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>
            <w:r/>
            <w:r>
              <w:t>03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>
            <w:r>
              <w:t>SWTID-2026-5003</w:t>
            </w:r>
            <w:r/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>
            <w:r/>
            <w:r>
              <w:t>Implement Client Script and UI Policy (Incident)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>
            <w:r/>
            <w:r>
              <w:t>Not specified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>
        <w:t>Prepared for the project team. The report uses available configuration screenshots; no formal performance measurements or signed test results were supplied. Team: Kaleeswari G (Team Leader: Milestones 4 and 5, Milestone 6 Activity 1); Devibala. A. S (Milestones 1 to 3); Karthika. M (Milestone 6 Activities 2 to 4); Amirtha Varshini S (Milestone 6 Activity 5 and conclusion).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400"/>
        <w:gridCol w:w="3360"/>
        <w:gridCol w:w="2850"/>
        <w:tblGridChange w:id="0">
          <w:tblGrid>
            <w:gridCol w:w="735"/>
            <w:gridCol w:w="2400"/>
            <w:gridCol w:w="3360"/>
            <w:gridCol w:w="285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Values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Screenshot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/>
            <w:r>
              <w:t>1.</w:t>
            </w:r>
          </w:p>
        </w:tc>
        <w:tc>
          <w:tcPr/>
          <w:p>
            <w:r/>
            <w:r>
              <w:t>Model Summary</w:t>
            </w:r>
          </w:p>
        </w:tc>
        <w:tc>
          <w:tcPr/>
          <w:p>
            <w:r/>
            <w:r>
              <w:t>Not applicable: this project configures ServiceNow Incident UI Policies and Client Scripts; it does not contain an AI model.</w:t>
            </w:r>
          </w:p>
        </w:tc>
        <w:tc>
          <w:tcPr/>
          <w:p>
            <w:pPr>
              <w:jc w:val="center"/>
            </w:pPr>
            <w:r/>
            <w:r>
              <w:drawing>
                <wp:inline>
                  <wp:extent cx="1417320" cy="82287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lestone 1(c)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8228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/>
            <w:r>
              <w:t>2.</w:t>
            </w:r>
          </w:p>
        </w:tc>
        <w:tc>
          <w:tcPr/>
          <w:p>
            <w:r/>
            <w:r>
              <w:t>Accuracy</w:t>
            </w:r>
          </w:p>
        </w:tc>
        <w:tc>
          <w:tcPr/>
          <w:p>
            <w:r/>
            <w:r>
              <w:t>Model accuracy is not applicable. Functional pass rate and response-time measurements were not provided.</w:t>
            </w:r>
          </w:p>
        </w:tc>
        <w:tc>
          <w:tcPr/>
          <w:p>
            <w:pPr>
              <w:jc w:val="center"/>
            </w:pPr>
            <w:r/>
            <w:r>
              <w:drawing>
                <wp:inline>
                  <wp:extent cx="1417320" cy="67517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lestone 6 (task 1)(b)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6751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/>
            <w:r>
              <w:t>3.</w:t>
            </w:r>
          </w:p>
        </w:tc>
        <w:tc>
          <w:tcPr/>
          <w:p>
            <w:r/>
            <w:r>
              <w:t>Fine Tunning Result (if Done)</w:t>
            </w:r>
          </w:p>
        </w:tc>
        <w:tc>
          <w:tcPr/>
          <w:p>
            <w:r/>
            <w:r>
              <w:t>Not applicable: no model training or fine-tuning was performed.</w:t>
            </w:r>
          </w:p>
        </w:tc>
        <w:tc>
          <w:tcPr/>
          <w:p>
            <w:pPr>
              <w:jc w:val="center"/>
            </w:pPr>
            <w:r/>
            <w:r>
              <w:drawing>
                <wp:inline>
                  <wp:extent cx="1417320" cy="673893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lestone 3(b)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6738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00000" w:rsidDel="00000000" w:rsidP="00000000" w:rsidRDefault="00000000" w:rsidRPr="00000000" w14:paraId="0000001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headerReference w:type="default" r:id="rId10"/>
      <w:footerReference w:type="default" r:id="rId11"/>
      <w:headerReference w:type="first" r:id="rId12"/>
      <w:footerReference w:type="first" r:id="rId13"/>
      <w:headerReference w:type="even" r:id="rId14"/>
      <w:footerReference w:type="even" r:id="rId15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