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SWTID-2026-5003</w:t>
            </w:r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t>Implement Client Script and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/>
            <w:r>
              <w:t>10 Marks (as stated in source template)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Prepared for the project team. The report uses available configuration screenshots; no formal performance measurements or signed test results were supplied. Team: Kaleeswari G (Team Leader: Milestones 4 and 5, Milestone 6 Activity 1); Devibala. A. S (Milestones 1 to 3); Karthika. M (Milestone 6 Activities 2 to 4); Amirtha Varshini S (Milestone 6 Activity 5 and conclusion).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1.</w:t>
            </w:r>
          </w:p>
        </w:tc>
        <w:tc>
          <w:tcPr/>
          <w:p>
            <w:r/>
            <w:r>
              <w:t>Metrics</w:t>
            </w:r>
          </w:p>
        </w:tc>
        <w:tc>
          <w:tcPr/>
          <w:p>
            <w:r/>
            <w:r>
              <w:t>Regression metrics (MAE, MSE, RMSE, R²) and classification metrics (confusion matrix, accuracy, classification report) are not applicable: no ML model or dataset is part of this project.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554480" cy="7299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299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2.</w:t>
            </w:r>
          </w:p>
        </w:tc>
        <w:tc>
          <w:tcPr/>
          <w:p>
            <w:r/>
            <w:r>
              <w:t>Tune the Model</w:t>
            </w:r>
          </w:p>
        </w:tc>
        <w:tc>
          <w:tcPr/>
          <w:p>
            <w:r/>
            <w:r>
              <w:t>Hyperparameter tuning and validation method: not applicable; the project uses manually configured ServiceNow UI Policies and Client Scripts.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554480" cy="74536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45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