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t>Full Stack Development Project Documentation</w:t>
      </w:r>
    </w:p>
    <w:p>
      <w:pPr>
        <w:jc w:val="center"/>
      </w:pPr>
      <w:r>
        <w:rPr>
          <w:color w:val="556370"/>
          <w:sz w:val="24"/>
        </w:rPr>
        <w:t>ServiceNow Incident Client Script and UI Policy</w:t>
      </w:r>
    </w:p>
    <w:p>
      <w:r>
        <w:t>Team ID SWTID-2026-5003 | ServiceNow Incident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</w:tblGrid>
      <w:tr>
        <w:tc>
          <w:tcPr>
            <w:tcW w:type="dxa" w:w="4827"/>
            <w:vAlign w:val="center"/>
            <w:shd w:fill="174B7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Team member</w:t>
            </w:r>
          </w:p>
        </w:tc>
        <w:tc>
          <w:tcPr>
            <w:tcW w:type="dxa" w:w="4827"/>
            <w:vAlign w:val="center"/>
            <w:shd w:fill="174B7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Contribution</w:t>
            </w:r>
          </w:p>
        </w:tc>
      </w:tr>
      <w:tr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Kaleeswari G</w:t>
            </w:r>
          </w:p>
        </w:tc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Team Leader; Milestones 4 and 5; Milestone 6 Activity 1</w:t>
            </w:r>
          </w:p>
        </w:tc>
      </w:tr>
      <w:tr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Devibala. A. S</w:t>
            </w:r>
          </w:p>
        </w:tc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Milestones 1 to 3</w:t>
            </w:r>
          </w:p>
        </w:tc>
      </w:tr>
      <w:tr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Karthika. M</w:t>
            </w:r>
          </w:p>
        </w:tc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Milestone 6 Activities 2 to 4</w:t>
            </w:r>
          </w:p>
        </w:tc>
      </w:tr>
      <w:tr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Amirtha Varshini S</w:t>
            </w:r>
          </w:p>
        </w:tc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Milestone 6 Activity 5 and conclusion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Introduction</w:t>
      </w:r>
    </w:p>
    <w:p>
      <w:r>
        <w:t>Project Title: Implement Client Script and UI Policy (Incident).</w:t>
      </w:r>
    </w:p>
    <w:p>
      <w:r>
        <w:t>Team ID: SWTID-2026-5003.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</w:tblGrid>
      <w:tr>
        <w:tc>
          <w:tcPr>
            <w:tcW w:type="dxa" w:w="4827"/>
            <w:vAlign w:val="center"/>
            <w:shd w:fill="174B7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Team member</w:t>
            </w:r>
          </w:p>
        </w:tc>
        <w:tc>
          <w:tcPr>
            <w:tcW w:type="dxa" w:w="4827"/>
            <w:vAlign w:val="center"/>
            <w:shd w:fill="174B7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Role / contribution</w:t>
            </w:r>
          </w:p>
        </w:tc>
      </w:tr>
      <w:tr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Kaleeswari G</w:t>
            </w:r>
          </w:p>
        </w:tc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Team Leader; Milestones 4 and 5; Milestone 6 Activity 1</w:t>
            </w:r>
          </w:p>
        </w:tc>
      </w:tr>
      <w:tr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Devibala. A. S</w:t>
            </w:r>
          </w:p>
        </w:tc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Milestones 1 to 3</w:t>
            </w:r>
          </w:p>
        </w:tc>
      </w:tr>
      <w:tr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Karthika. M</w:t>
            </w:r>
          </w:p>
        </w:tc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Milestone 6 Activities 2 to 4</w:t>
            </w:r>
          </w:p>
        </w:tc>
      </w:tr>
      <w:tr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Amirtha Varshini S</w:t>
            </w:r>
          </w:p>
        </w:tc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Milestone 6 Activity 5 and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2. Project Overview</w:t>
      </w:r>
    </w:p>
    <w:p>
      <w:r>
        <w:t>Purpose: demonstrate client-side Incident data integrity controls in ServiceNow. Features include a high-impact UI Policy, policy actions for Assignment group and Urgency, an onChange urgency script, onSubmit validation for Assigned To, and onCellEdit protection for State.</w:t>
      </w:r>
    </w:p>
    <w:p>
      <w:r>
        <w:t>The source describes both Assignment group mandatory through the policy action and Assigned To mandatory through the submit script. Treat these as separate controls; confirm whether both are intended.</w:t>
      </w:r>
    </w:p>
    <w:p>
      <w:pPr>
        <w:pStyle w:val="Heading1"/>
      </w:pPr>
      <w:r>
        <w:t>3. Architecture</w:t>
      </w:r>
    </w:p>
    <w:p>
      <w:r>
        <w:t>Frontend: the ServiceNow Incident form and list interface; no React frontend is used.</w:t>
      </w:r>
    </w:p>
    <w:p>
      <w:r>
        <w:t>Backend: ServiceNow platform services and Incident records; no custom Node.js/Express service is part of this project.</w:t>
      </w:r>
    </w:p>
    <w:p>
      <w:r>
        <w:t>Database: the platform-managed Incident table stores records; no MongoDB schema or direct database integration is supplied.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</w:tblGrid>
      <w:tr>
        <w:tc>
          <w:tcPr>
            <w:tcW w:type="dxa" w:w="4827"/>
            <w:vAlign w:val="center"/>
            <w:shd w:fill="174B7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Client component</w:t>
            </w:r>
          </w:p>
        </w:tc>
        <w:tc>
          <w:tcPr>
            <w:tcW w:type="dxa" w:w="4827"/>
            <w:vAlign w:val="center"/>
            <w:shd w:fill="174B7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Configuration</w:t>
            </w:r>
          </w:p>
        </w:tc>
      </w:tr>
      <w:tr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UI Policy</w:t>
            </w:r>
          </w:p>
        </w:tc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 Impact Control; table Incident; Impact is 1 - High; active; Reverse if false enabled.</w:t>
            </w:r>
          </w:p>
        </w:tc>
      </w:tr>
      <w:tr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UI Policy Action</w:t>
            </w:r>
          </w:p>
        </w:tc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Assignment group mandatory; Urgency read-only while condition holds.</w:t>
            </w:r>
          </w:p>
        </w:tc>
      </w:tr>
      <w:tr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onChange</w:t>
            </w:r>
          </w:p>
        </w:tc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Runs on Impact change; sets urgency to 1 for Impact = 1.</w:t>
            </w:r>
          </w:p>
        </w:tc>
      </w:tr>
      <w:tr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onSubmit</w:t>
            </w:r>
          </w:p>
        </w:tc>
        <w:tc>
          <w:tcPr>
            <w:tcW w:type="dxa" w:w="4827"/>
            <w:vAlign w:val="center"/>
            <w:shd w:fill="EDF3F7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Blocks save when Impact = 1 and assigned_to is empty.</w:t>
            </w:r>
          </w:p>
        </w:tc>
      </w:tr>
      <w:tr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onCellEdit</w:t>
            </w:r>
          </w:p>
        </w:tc>
        <w:tc>
          <w:tcPr>
            <w:tcW w:type="dxa" w:w="482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Rejects list edits to State using alert and callback(false).</w:t>
            </w:r>
          </w:p>
        </w:tc>
      </w:tr>
    </w:tbl>
    <w:p>
      <w:pPr>
        <w:spacing w:after="20"/>
      </w:pPr>
    </w:p>
    <w:p>
      <w:pPr>
        <w:pStyle w:val="Heading1"/>
      </w:pPr>
      <w:r>
        <w:t>4. Setup Instructions</w:t>
      </w:r>
    </w:p>
    <w:p>
      <w:r>
        <w:t>Prerequisites: access to a configured ServiceNow instance with permission to configure UI Policies and Client Scripts, and an Incident table available. No local Node.js or MongoDB installation is required.</w:t>
      </w:r>
    </w:p>
    <w:p>
      <w:r>
        <w:t>Installation/configuration: open System UI &gt; UI Policies and create High Impact Control on Incident; configure Impact = 1 - High and reverse-if-false; add the documented policy actions. Open System UI &gt; Client Scripts and create the active scripts with their stated types and fields. Validate behavior in a non-production instance before promotion. Credentials are managed by the organization and are not included here.</w:t>
      </w:r>
    </w:p>
    <w:p>
      <w:pPr>
        <w:pStyle w:val="Heading1"/>
      </w:pPr>
      <w:r>
        <w:t>5. Folder Structure</w:t>
      </w:r>
    </w:p>
    <w:p>
      <w:r>
        <w:t>This is a platform configuration project rather than a source-code application with client/server folders. The supplied code ZIP contains milestone evidence screenshots. Configuration records reside in the ServiceNow instance; no export/update-set package was included.</w:t>
      </w:r>
    </w:p>
    <w:p>
      <w:pPr>
        <w:pStyle w:val="Heading1"/>
      </w:pPr>
      <w:r>
        <w:t>6. Running the Application</w:t>
      </w:r>
    </w:p>
    <w:p>
      <w:r>
        <w:t>Sign in to the authorized ServiceNow instance, open the Incident module, and create or update an Incident. Choose Impact = High to exercise the policy and onChange behavior. Submit with Assigned To blank to exercise the save guard. Test direct State edits from a list separately. No local npm start command applies.</w:t>
      </w:r>
    </w:p>
    <w:p>
      <w:pPr>
        <w:pStyle w:val="Heading1"/>
      </w:pPr>
      <w:r>
        <w:t>7. API Documentation</w:t>
      </w:r>
    </w:p>
    <w:p>
      <w:r>
        <w:t>No custom HTTP API endpoints are implemented or documented in the supplied project. The scripts use the ServiceNow client-side g_form API and the onCellEdit callback contract. Platform APIs are outside this project scope.</w:t>
      </w:r>
    </w:p>
    <w:p>
      <w:pPr>
        <w:pStyle w:val="Heading1"/>
      </w:pPr>
      <w:r>
        <w:t>8. Authentication</w:t>
      </w:r>
    </w:p>
    <w:p>
      <w:r>
        <w:t>Authentication and authorization are provided by the ServiceNow instance. The project materials do not describe custom tokens, sessions, identity configuration, or role assignments. Use approved instance access and least-privilege configuration roles.</w:t>
      </w:r>
    </w:p>
    <w:p>
      <w:pPr>
        <w:pStyle w:val="Heading1"/>
      </w:pPr>
      <w:r>
        <w:t>9. User Interface</w:t>
      </w:r>
    </w:p>
    <w:p>
      <w:r>
        <w:t>Screenshots below show the UI Policy, client scripts, Incident form, and list editing behavior supplied with the project.</w:t>
      </w:r>
    </w:p>
    <w:p>
      <w:pPr>
        <w:keepNext/>
        <w:jc w:val="center"/>
      </w:pPr>
      <w:r>
        <w:drawing>
          <wp:inline>
            <wp:extent cx="5577840" cy="3238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1(c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6370"/>
          <w:sz w:val="16"/>
        </w:rPr>
        <w:t>High Impact Control UI Policy.</w:t>
      </w:r>
    </w:p>
    <w:p>
      <w:pPr>
        <w:keepNext/>
        <w:jc w:val="center"/>
      </w:pPr>
      <w:r>
        <w:drawing>
          <wp:inline>
            <wp:extent cx="5577840" cy="2993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6370"/>
          <w:sz w:val="16"/>
        </w:rPr>
        <w:t>Urgency UI Policy Action.</w:t>
      </w:r>
    </w:p>
    <w:p>
      <w:pPr>
        <w:keepNext/>
        <w:jc w:val="center"/>
      </w:pPr>
      <w:r>
        <w:drawing>
          <wp:inline>
            <wp:extent cx="5577840" cy="2652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3(b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5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6370"/>
          <w:sz w:val="16"/>
        </w:rPr>
        <w:t>onChange script configuration.</w:t>
      </w:r>
    </w:p>
    <w:p>
      <w:pPr>
        <w:keepNext/>
        <w:jc w:val="center"/>
      </w:pPr>
      <w:r>
        <w:drawing>
          <wp:inline>
            <wp:extent cx="5577840" cy="2619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1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6370"/>
          <w:sz w:val="16"/>
        </w:rPr>
        <w:t>onSubmit validation configuration.</w:t>
      </w:r>
    </w:p>
    <w:p>
      <w:pPr>
        <w:keepNext/>
        <w:jc w:val="center"/>
      </w:pPr>
      <w:r>
        <w:drawing>
          <wp:inline>
            <wp:extent cx="5577840" cy="2674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6370"/>
          <w:sz w:val="16"/>
        </w:rPr>
        <w:t>onCellEdit script configuration.</w:t>
      </w:r>
    </w:p>
    <w:p>
      <w:pPr>
        <w:keepNext/>
        <w:jc w:val="center"/>
      </w:pPr>
      <w:r>
        <w:drawing>
          <wp:inline>
            <wp:extent cx="5577840" cy="2657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6 (task 1)(b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5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6370"/>
          <w:sz w:val="16"/>
        </w:rPr>
        <w:t>Incident form with validation evidence.</w:t>
      </w:r>
    </w:p>
    <w:p>
      <w:pPr>
        <w:keepNext/>
        <w:jc w:val="center"/>
      </w:pPr>
      <w:r>
        <w:drawing>
          <wp:inline>
            <wp:extent cx="5577840" cy="2966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6 (task 4(2)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6370"/>
          <w:sz w:val="16"/>
        </w:rPr>
        <w:t>Alert displayed during list State edit.</w:t>
      </w:r>
    </w:p>
    <w:p>
      <w:pPr>
        <w:pStyle w:val="Heading1"/>
      </w:pPr>
      <w:r>
        <w:t>10. Testing</w:t>
      </w:r>
    </w:p>
    <w:p>
      <w:r>
        <w:t>Test the high-impact policy and reverse condition; urgency auto-population; save prevention when Assigned To is blank for high impact; successful save with an assignee; list-edit rejection for State; and form-based State updates. Supplied screenshots provide configuration and selected interaction evidence, but a completed test log, defect register, and signed approval were not included. Do not treat undocumented test outcomes as passed.</w:t>
      </w:r>
    </w:p>
    <w:p>
      <w:pPr>
        <w:pStyle w:val="Heading1"/>
      </w:pPr>
      <w:r>
        <w:t>11. Screenshots or Demo</w:t>
      </w:r>
    </w:p>
    <w:p>
      <w:r>
        <w:t>Milestone screenshots are included in Section 9. No public demo URL or repository link was supplied.</w:t>
      </w:r>
    </w:p>
    <w:p>
      <w:pPr>
        <w:pStyle w:val="Heading1"/>
      </w:pPr>
      <w:r>
        <w:t>12. Known Issues</w:t>
      </w:r>
    </w:p>
    <w:p>
      <w:r>
        <w:t>• The source materials differ on whether Assignment group or Assigned To is the intended mandatory field. The UI Policy action and onSubmit script currently point to different fields.</w:t>
      </w:r>
    </w:p>
    <w:p>
      <w:r>
        <w:t>• Client-side validation does not enforce the same rule for imports, API writes, or other server-side paths.</w:t>
      </w:r>
    </w:p>
    <w:p>
      <w:r>
        <w:t>• No formal defect list, performance measurements, or release sign-off was supplied.</w:t>
      </w:r>
    </w:p>
    <w:p>
      <w:pPr>
        <w:pStyle w:val="Heading1"/>
      </w:pPr>
      <w:r>
        <w:t>13. Future Enhancements</w:t>
      </w:r>
    </w:p>
    <w:p>
      <w:r>
        <w:t>• Confirm business rule ownership and align mandatory behavior.</w:t>
      </w:r>
    </w:p>
    <w:p>
      <w:r>
        <w:t>• Add server-side validation if required for all update channels.</w:t>
      </w:r>
    </w:p>
    <w:p>
      <w:r>
        <w:t>• Create automated regression/UAT evidence and a controlled deployment package.</w:t>
      </w:r>
    </w:p>
    <w:p>
      <w:r>
        <w:t>• Record a performance baseline and supported-browser checks.</w:t>
      </w:r>
    </w:p>
    <w:sectPr>
      <w:headerReference w:type="default" r:id="rId13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h="16820" w:w="11900" w:orient="portrait"/>
      <w:pgMar w:bottom="979" w:top="979" w:left="1123" w:right="112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/>
    </w:pPr>
    <w:rPr>
      <w:rFonts w:ascii="Aptos" w:hAnsi="Aptos"/>
      <w:color w:val="28313D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200" w:lineRule="auto"/>
    </w:pPr>
    <w:rPr>
      <w:rFonts w:ascii="Aptos Display" w:hAnsi="Aptos Display"/>
      <w:b/>
      <w:bCs w:val="1"/>
      <w:color w:val="144773"/>
      <w:sz w:val="32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200" w:lineRule="auto"/>
    </w:pPr>
    <w:rPr>
      <w:rFonts w:ascii="Aptos Display" w:hAnsi="Aptos Display"/>
      <w:b/>
      <w:bCs w:val="1"/>
      <w:color w:val="144773"/>
      <w:sz w:val="24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200" w:lineRule="auto"/>
    </w:pPr>
    <w:rPr>
      <w:rFonts w:ascii="Aptos Display" w:hAnsi="Aptos Display"/>
      <w:b/>
      <w:bCs w:val="1"/>
      <w:color w:val="144773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0" w:lineRule="auto"/>
    </w:pPr>
    <w:rPr>
      <w:rFonts w:ascii="Aptos Display" w:hAnsi="Aptos Display"/>
      <w:b/>
      <w:bCs w:val="1"/>
      <w:color w:val="144773"/>
      <w:sz w:val="48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2026-10-03T05:37:45Z</dcterms:modified>
  <dc:creator>Naan Mudhalvan Project Team</dc:creator>
</cp:coreProperties>
</file>