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r>
        <w:rPr>
          <w:rFonts w:ascii="Helvetica" w:cs="Helvetica" w:eastAsia="Helvetica" w:hAnsi="Helvetica"/>
          <w:b/>
          <w:bCs/>
          <w:color w:val="F05A00"/>
          <w:sz w:val="52"/>
          <w:szCs w:val="52"/>
        </w:rPr>
        <w:t xml:space="preserve">AI READINESS</w:t>
      </w:r>
    </w:p>
    <w:p>
      <w:pPr>
        <w:spacing w:before="60"/>
      </w:pPr>
      <w:r>
        <w:rPr>
          <w:rFonts w:ascii="Helvetica" w:cs="Helvetica" w:eastAsia="Helvetica" w:hAnsi="Helvetica"/>
          <w:b/>
          <w:bCs/>
          <w:color w:val="381D2A"/>
          <w:sz w:val="52"/>
          <w:szCs w:val="52"/>
        </w:rPr>
        <w:t xml:space="preserve">SCORECARD</w:t>
      </w:r>
    </w:p>
    <w:p>
      <w:pPr>
        <w:spacing w:after="0" w:before="120"/>
      </w:pPr>
    </w:p>
    <w:p>
      <w:pPr>
        <w:pBdr>
          <w:top w:val="single" w:color="F05A00" w:sz="4" w:space="1"/>
        </w:pBdr>
        <w:spacing w:before="120"/>
      </w:pPr>
    </w:p>
    <w:p>
      <w:pPr>
        <w:spacing w:after="0" w:before="200"/>
      </w:pPr>
    </w:p>
    <w:p>
      <w:pPr>
        <w:spacing w:after="160" w:line="300"/>
      </w:pPr>
      <w:r>
        <w:rPr>
          <w:rFonts w:ascii="Helvetica" w:cs="Helvetica" w:eastAsia="Helvetica" w:hAnsi="Helvetica"/>
          <w:color w:val="381D2A"/>
          <w:sz w:val="21"/>
          <w:szCs w:val="21"/>
        </w:rPr>
        <w:t xml:space="preserve">A diagnostic tool for Australian small businesses to assess their current AI readiness across six critical dimensions. Use this scorecard to identify where you are, where the gaps are, and what to focus on next.</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8"/>
      </w:tblGrid>
      <w:tr>
        <w:tc>
          <w:tcPr>
            <w:tcW w:type="dxa" w:w="2707"/>
            <w:tcBorders>
              <w:top w:val="none"/>
              <w:left w:val="none"/>
              <w:bottom w:val="single" w:color="CCCCCC" w:sz="1"/>
              <w:right w:val="none"/>
            </w:tcBorders>
            <w:tcMar>
              <w:top w:type="dxa" w:w="80"/>
              <w:left w:type="dxa" w:w="0"/>
              <w:bottom w:type="dxa" w:w="80"/>
              <w:right w:type="dxa" w:w="80"/>
            </w:tcMar>
          </w:tcPr>
          <w:p>
            <w:r>
              <w:rPr>
                <w:rFonts w:ascii="Helvetica" w:cs="Helvetica" w:eastAsia="Helvetica" w:hAnsi="Helvetica"/>
                <w:b/>
                <w:bCs/>
                <w:color w:val="3E6990"/>
                <w:sz w:val="21"/>
                <w:szCs w:val="21"/>
              </w:rPr>
              <w:t xml:space="preserve">Business Name:</w:t>
            </w:r>
          </w:p>
        </w:tc>
        <w:tc>
          <w:tcPr>
            <w:tcW w:type="dxa" w:w="6318"/>
            <w:tcBorders>
              <w:top w:val="none"/>
              <w:left w:val="none"/>
              <w:bottom w:val="single" w:color="CCCCCC" w:sz="1"/>
              <w:right w:val="none"/>
            </w:tcBorders>
            <w:tcMar>
              <w:top w:type="dxa" w:w="80"/>
              <w:left w:type="dxa" w:w="80"/>
              <w:bottom w:type="dxa" w:w="80"/>
              <w:right w:type="dxa" w:w="0"/>
            </w:tcMar>
          </w:tcPr>
          <w:p>
            <w:r>
              <w:rPr>
                <w:rFonts w:ascii="Helvetica" w:cs="Helvetica" w:eastAsia="Helvetica" w:hAnsi="Helvetica"/>
                <w:color w:val="381D2A"/>
                <w:sz w:val="21"/>
                <w:szCs w:val="21"/>
              </w:rPr>
              <w:t xml:space="preserve"/>
            </w:r>
          </w:p>
        </w:tc>
      </w:tr>
      <w:tr>
        <w:tc>
          <w:tcPr>
            <w:tcW w:type="dxa" w:w="2707"/>
            <w:tcBorders>
              <w:top w:val="none"/>
              <w:left w:val="none"/>
              <w:bottom w:val="single" w:color="CCCCCC" w:sz="1"/>
              <w:right w:val="none"/>
            </w:tcBorders>
            <w:tcMar>
              <w:top w:type="dxa" w:w="80"/>
              <w:left w:type="dxa" w:w="0"/>
              <w:bottom w:type="dxa" w:w="80"/>
              <w:right w:type="dxa" w:w="80"/>
            </w:tcMar>
          </w:tcPr>
          <w:p>
            <w:r>
              <w:rPr>
                <w:rFonts w:ascii="Helvetica" w:cs="Helvetica" w:eastAsia="Helvetica" w:hAnsi="Helvetica"/>
                <w:b/>
                <w:bCs/>
                <w:color w:val="3E6990"/>
                <w:sz w:val="21"/>
                <w:szCs w:val="21"/>
              </w:rPr>
              <w:t xml:space="preserve">Industry:</w:t>
            </w:r>
          </w:p>
        </w:tc>
        <w:tc>
          <w:tcPr>
            <w:tcW w:type="dxa" w:w="6318"/>
            <w:tcBorders>
              <w:top w:val="none"/>
              <w:left w:val="none"/>
              <w:bottom w:val="single" w:color="CCCCCC" w:sz="1"/>
              <w:right w:val="none"/>
            </w:tcBorders>
            <w:tcMar>
              <w:top w:type="dxa" w:w="80"/>
              <w:left w:type="dxa" w:w="80"/>
              <w:bottom w:type="dxa" w:w="80"/>
              <w:right w:type="dxa" w:w="0"/>
            </w:tcMar>
          </w:tcPr>
          <w:p>
            <w:r>
              <w:rPr>
                <w:rFonts w:ascii="Helvetica" w:cs="Helvetica" w:eastAsia="Helvetica" w:hAnsi="Helvetica"/>
                <w:color w:val="381D2A"/>
                <w:sz w:val="21"/>
                <w:szCs w:val="21"/>
              </w:rPr>
              <w:t xml:space="preserve"/>
            </w:r>
          </w:p>
        </w:tc>
      </w:tr>
      <w:tr>
        <w:tc>
          <w:tcPr>
            <w:tcW w:type="dxa" w:w="2707"/>
            <w:tcBorders>
              <w:top w:val="none"/>
              <w:left w:val="none"/>
              <w:bottom w:val="single" w:color="CCCCCC" w:sz="1"/>
              <w:right w:val="none"/>
            </w:tcBorders>
            <w:tcMar>
              <w:top w:type="dxa" w:w="80"/>
              <w:left w:type="dxa" w:w="0"/>
              <w:bottom w:type="dxa" w:w="80"/>
              <w:right w:type="dxa" w:w="80"/>
            </w:tcMar>
          </w:tcPr>
          <w:p>
            <w:r>
              <w:rPr>
                <w:rFonts w:ascii="Helvetica" w:cs="Helvetica" w:eastAsia="Helvetica" w:hAnsi="Helvetica"/>
                <w:b/>
                <w:bCs/>
                <w:color w:val="3E6990"/>
                <w:sz w:val="21"/>
                <w:szCs w:val="21"/>
              </w:rPr>
              <w:t xml:space="preserve">Team Size:</w:t>
            </w:r>
          </w:p>
        </w:tc>
        <w:tc>
          <w:tcPr>
            <w:tcW w:type="dxa" w:w="6318"/>
            <w:tcBorders>
              <w:top w:val="none"/>
              <w:left w:val="none"/>
              <w:bottom w:val="single" w:color="CCCCCC" w:sz="1"/>
              <w:right w:val="none"/>
            </w:tcBorders>
            <w:tcMar>
              <w:top w:type="dxa" w:w="80"/>
              <w:left w:type="dxa" w:w="80"/>
              <w:bottom w:type="dxa" w:w="80"/>
              <w:right w:type="dxa" w:w="0"/>
            </w:tcMar>
          </w:tcPr>
          <w:p>
            <w:r>
              <w:rPr>
                <w:rFonts w:ascii="Helvetica" w:cs="Helvetica" w:eastAsia="Helvetica" w:hAnsi="Helvetica"/>
                <w:color w:val="381D2A"/>
                <w:sz w:val="21"/>
                <w:szCs w:val="21"/>
              </w:rPr>
              <w:t xml:space="preserve"/>
            </w:r>
          </w:p>
        </w:tc>
      </w:tr>
      <w:tr>
        <w:tc>
          <w:tcPr>
            <w:tcW w:type="dxa" w:w="2707"/>
            <w:tcBorders>
              <w:top w:val="none"/>
              <w:left w:val="none"/>
              <w:bottom w:val="single" w:color="CCCCCC" w:sz="1"/>
              <w:right w:val="none"/>
            </w:tcBorders>
            <w:tcMar>
              <w:top w:type="dxa" w:w="80"/>
              <w:left w:type="dxa" w:w="0"/>
              <w:bottom w:type="dxa" w:w="80"/>
              <w:right w:type="dxa" w:w="80"/>
            </w:tcMar>
          </w:tcPr>
          <w:p>
            <w:r>
              <w:rPr>
                <w:rFonts w:ascii="Helvetica" w:cs="Helvetica" w:eastAsia="Helvetica" w:hAnsi="Helvetica"/>
                <w:b/>
                <w:bCs/>
                <w:color w:val="3E6990"/>
                <w:sz w:val="21"/>
                <w:szCs w:val="21"/>
              </w:rPr>
              <w:t xml:space="preserve">Date:</w:t>
            </w:r>
          </w:p>
        </w:tc>
        <w:tc>
          <w:tcPr>
            <w:tcW w:type="dxa" w:w="6318"/>
            <w:tcBorders>
              <w:top w:val="none"/>
              <w:left w:val="none"/>
              <w:bottom w:val="single" w:color="CCCCCC" w:sz="1"/>
              <w:right w:val="none"/>
            </w:tcBorders>
            <w:tcMar>
              <w:top w:type="dxa" w:w="80"/>
              <w:left w:type="dxa" w:w="80"/>
              <w:bottom w:type="dxa" w:w="80"/>
              <w:right w:type="dxa" w:w="0"/>
            </w:tcMar>
          </w:tcPr>
          <w:p>
            <w:r>
              <w:rPr>
                <w:rFonts w:ascii="Helvetica" w:cs="Helvetica" w:eastAsia="Helvetica" w:hAnsi="Helvetica"/>
                <w:color w:val="381D2A"/>
                <w:sz w:val="21"/>
                <w:szCs w:val="21"/>
              </w:rPr>
              <w:t xml:space="preserve"/>
            </w:r>
          </w:p>
        </w:tc>
      </w:tr>
      <w:tr>
        <w:tc>
          <w:tcPr>
            <w:tcW w:type="dxa" w:w="2707"/>
            <w:tcBorders>
              <w:top w:val="none"/>
              <w:left w:val="none"/>
              <w:bottom w:val="single" w:color="CCCCCC" w:sz="1"/>
              <w:right w:val="none"/>
            </w:tcBorders>
            <w:tcMar>
              <w:top w:type="dxa" w:w="80"/>
              <w:left w:type="dxa" w:w="0"/>
              <w:bottom w:type="dxa" w:w="80"/>
              <w:right w:type="dxa" w:w="80"/>
            </w:tcMar>
          </w:tcPr>
          <w:p>
            <w:r>
              <w:rPr>
                <w:rFonts w:ascii="Helvetica" w:cs="Helvetica" w:eastAsia="Helvetica" w:hAnsi="Helvetica"/>
                <w:b/>
                <w:bCs/>
                <w:color w:val="3E6990"/>
                <w:sz w:val="21"/>
                <w:szCs w:val="21"/>
              </w:rPr>
              <w:t xml:space="preserve">Assessed By:</w:t>
            </w:r>
          </w:p>
        </w:tc>
        <w:tc>
          <w:tcPr>
            <w:tcW w:type="dxa" w:w="6318"/>
            <w:tcBorders>
              <w:top w:val="none"/>
              <w:left w:val="none"/>
              <w:bottom w:val="single" w:color="CCCCCC" w:sz="1"/>
              <w:right w:val="none"/>
            </w:tcBorders>
            <w:tcMar>
              <w:top w:type="dxa" w:w="80"/>
              <w:left w:type="dxa" w:w="80"/>
              <w:bottom w:type="dxa" w:w="80"/>
              <w:right w:type="dxa" w:w="0"/>
            </w:tcMar>
          </w:tcPr>
          <w:p>
            <w:r>
              <w:rPr>
                <w:rFonts w:ascii="Helvetica" w:cs="Helvetica" w:eastAsia="Helvetica" w:hAnsi="Helvetica"/>
                <w:color w:val="381D2A"/>
                <w:sz w:val="21"/>
                <w:szCs w:val="21"/>
              </w:rPr>
              <w:t xml:space="preserve"/>
            </w:r>
          </w:p>
        </w:tc>
      </w:tr>
    </w:tbl>
    <w:p>
      <w:pPr>
        <w:spacing w:after="0" w:before="600"/>
      </w:pPr>
    </w:p>
    <w:p>
      <w:r>
        <w:rPr>
          <w:rFonts w:ascii="Helvetica" w:cs="Helvetica" w:eastAsia="Helvetica" w:hAnsi="Helvetica"/>
          <w:color w:val="3E6990"/>
          <w:sz w:val="22"/>
          <w:szCs w:val="22"/>
        </w:rPr>
        <w:t xml:space="preserve">Tech Horizon Labs</w:t>
      </w:r>
    </w:p>
    <w:p>
      <w:pPr>
        <w:spacing w:before="60"/>
      </w:pPr>
      <w:r>
        <w:rPr>
          <w:rFonts w:ascii="Helvetica" w:cs="Helvetica" w:eastAsia="Helvetica" w:hAnsi="Helvetica"/>
          <w:color w:val="3E6990"/>
          <w:sz w:val="20"/>
          <w:szCs w:val="20"/>
        </w:rPr>
        <w:t xml:space="preserve">techhorizonlabs.com  |  Discover → Architect → Activate</w:t>
      </w:r>
    </w:p>
    <w:p>
      <w:pPr>
        <w:sectPr>
          <w:pgSz w:w="11906" w:h="16838" w:orient="portrait"/>
          <w:pgMar w:top="1440" w:right="1440" w:bottom="1440" w:left="1440" w:header="708" w:footer="708" w:gutter="0"/>
          <w:pgNumType/>
          <w:docGrid w:linePitch="360"/>
        </w:sectPr>
      </w:pPr>
    </w:p>
    <w:p>
      <w:pPr>
        <w:pStyle w:val="Heading1"/>
        <w:spacing w:after="200" w:before="360"/>
      </w:pPr>
      <w:r>
        <w:rPr>
          <w:rFonts w:ascii="Helvetica" w:cs="Helvetica" w:eastAsia="Helvetica" w:hAnsi="Helvetica"/>
          <w:b/>
          <w:bCs/>
          <w:color w:val="381D2A"/>
          <w:sz w:val="36"/>
          <w:szCs w:val="36"/>
        </w:rPr>
        <w:t xml:space="preserve">AI Readiness Assessment</w:t>
      </w:r>
    </w:p>
    <w:p>
      <w:pPr>
        <w:spacing w:after="160" w:line="300"/>
      </w:pPr>
      <w:r>
        <w:rPr>
          <w:rFonts w:ascii="Helvetica" w:cs="Helvetica" w:eastAsia="Helvetica" w:hAnsi="Helvetica"/>
          <w:color w:val="381D2A"/>
          <w:sz w:val="21"/>
          <w:szCs w:val="21"/>
        </w:rPr>
        <w:t xml:space="preserve">Rate your business from 1 (not started) to 5 (fully embedded) on each dimension. Be honest — this is a diagnostic, not a test. Circle or mark your score for each row.</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3159"/>
            <w:tcBorders>
              <w:top w:val="single" w:color="CCCCCC" w:sz="1"/>
              <w:left w:val="single" w:color="CCCCCC" w:sz="1"/>
              <w:bottom w:val="single" w:color="CCCCCC" w:sz="1"/>
              <w:right w:val="single" w:color="CCCCCC" w:sz="1"/>
            </w:tcBorders>
            <w:shd w:fill="381D2A" w:val="clear"/>
            <w:tcMar>
              <w:top w:type="dxa" w:w="80"/>
              <w:left w:type="dxa" w:w="120"/>
              <w:bottom w:type="dxa" w:w="80"/>
              <w:right w:type="dxa" w:w="120"/>
            </w:tcMar>
          </w:tcPr>
          <w:p>
            <w:r>
              <w:rPr>
                <w:rFonts w:ascii="Helvetica" w:cs="Helvetica" w:eastAsia="Helvetica" w:hAnsi="Helvetica"/>
                <w:b/>
                <w:bCs/>
                <w:color w:val="FFFFFF"/>
                <w:sz w:val="20"/>
                <w:szCs w:val="20"/>
              </w:rPr>
              <w:t xml:space="preserve">Assessment Area</w:t>
            </w:r>
          </w:p>
        </w:tc>
        <w:tc>
          <w:tcPr>
            <w:tcW w:type="dxa" w:w="586"/>
            <w:tcBorders>
              <w:top w:val="single" w:color="CCCCCC" w:sz="1"/>
              <w:left w:val="single" w:color="CCCCCC" w:sz="1"/>
              <w:bottom w:val="single" w:color="CCCCCC" w:sz="1"/>
              <w:right w:val="single" w:color="CCCCCC" w:sz="1"/>
            </w:tcBorders>
            <w:shd w:fill="381D2A" w:val="clear"/>
            <w:tcMar>
              <w:top w:type="dxa" w:w="60"/>
              <w:left w:type="dxa" w:w="40"/>
              <w:bottom w:type="dxa" w:w="60"/>
              <w:right w:type="dxa" w:w="40"/>
            </w:tcMar>
          </w:tcPr>
          <w:p>
            <w:pPr>
              <w:jc w:val="center"/>
            </w:pPr>
            <w:r>
              <w:rPr>
                <w:rFonts w:ascii="Helvetica" w:cs="Helvetica" w:eastAsia="Helvetica" w:hAnsi="Helvetica"/>
                <w:b/>
                <w:bCs/>
                <w:color w:val="FFFFFF"/>
                <w:sz w:val="20"/>
                <w:szCs w:val="20"/>
              </w:rPr>
              <w:t xml:space="preserve">1</w:t>
            </w:r>
          </w:p>
        </w:tc>
        <w:tc>
          <w:tcPr>
            <w:tcW w:type="dxa" w:w="586"/>
            <w:tcBorders>
              <w:top w:val="single" w:color="CCCCCC" w:sz="1"/>
              <w:left w:val="single" w:color="CCCCCC" w:sz="1"/>
              <w:bottom w:val="single" w:color="CCCCCC" w:sz="1"/>
              <w:right w:val="single" w:color="CCCCCC" w:sz="1"/>
            </w:tcBorders>
            <w:shd w:fill="381D2A" w:val="clear"/>
            <w:tcMar>
              <w:top w:type="dxa" w:w="60"/>
              <w:left w:type="dxa" w:w="40"/>
              <w:bottom w:type="dxa" w:w="60"/>
              <w:right w:type="dxa" w:w="40"/>
            </w:tcMar>
          </w:tcPr>
          <w:p>
            <w:pPr>
              <w:jc w:val="center"/>
            </w:pPr>
            <w:r>
              <w:rPr>
                <w:rFonts w:ascii="Helvetica" w:cs="Helvetica" w:eastAsia="Helvetica" w:hAnsi="Helvetica"/>
                <w:b/>
                <w:bCs/>
                <w:color w:val="FFFFFF"/>
                <w:sz w:val="20"/>
                <w:szCs w:val="20"/>
              </w:rPr>
              <w:t xml:space="preserve">2</w:t>
            </w:r>
          </w:p>
        </w:tc>
        <w:tc>
          <w:tcPr>
            <w:tcW w:type="dxa" w:w="586"/>
            <w:tcBorders>
              <w:top w:val="single" w:color="CCCCCC" w:sz="1"/>
              <w:left w:val="single" w:color="CCCCCC" w:sz="1"/>
              <w:bottom w:val="single" w:color="CCCCCC" w:sz="1"/>
              <w:right w:val="single" w:color="CCCCCC" w:sz="1"/>
            </w:tcBorders>
            <w:shd w:fill="381D2A" w:val="clear"/>
            <w:tcMar>
              <w:top w:type="dxa" w:w="60"/>
              <w:left w:type="dxa" w:w="40"/>
              <w:bottom w:type="dxa" w:w="60"/>
              <w:right w:type="dxa" w:w="40"/>
            </w:tcMar>
          </w:tcPr>
          <w:p>
            <w:pPr>
              <w:jc w:val="center"/>
            </w:pPr>
            <w:r>
              <w:rPr>
                <w:rFonts w:ascii="Helvetica" w:cs="Helvetica" w:eastAsia="Helvetica" w:hAnsi="Helvetica"/>
                <w:b/>
                <w:bCs/>
                <w:color w:val="FFFFFF"/>
                <w:sz w:val="20"/>
                <w:szCs w:val="20"/>
              </w:rPr>
              <w:t xml:space="preserve">3</w:t>
            </w:r>
          </w:p>
        </w:tc>
        <w:tc>
          <w:tcPr>
            <w:tcW w:type="dxa" w:w="586"/>
            <w:tcBorders>
              <w:top w:val="single" w:color="CCCCCC" w:sz="1"/>
              <w:left w:val="single" w:color="CCCCCC" w:sz="1"/>
              <w:bottom w:val="single" w:color="CCCCCC" w:sz="1"/>
              <w:right w:val="single" w:color="CCCCCC" w:sz="1"/>
            </w:tcBorders>
            <w:shd w:fill="381D2A" w:val="clear"/>
            <w:tcMar>
              <w:top w:type="dxa" w:w="60"/>
              <w:left w:type="dxa" w:w="40"/>
              <w:bottom w:type="dxa" w:w="60"/>
              <w:right w:type="dxa" w:w="40"/>
            </w:tcMar>
          </w:tcPr>
          <w:p>
            <w:pPr>
              <w:jc w:val="center"/>
            </w:pPr>
            <w:r>
              <w:rPr>
                <w:rFonts w:ascii="Helvetica" w:cs="Helvetica" w:eastAsia="Helvetica" w:hAnsi="Helvetica"/>
                <w:b/>
                <w:bCs/>
                <w:color w:val="FFFFFF"/>
                <w:sz w:val="20"/>
                <w:szCs w:val="20"/>
              </w:rPr>
              <w:t xml:space="preserve">4</w:t>
            </w:r>
          </w:p>
        </w:tc>
        <w:tc>
          <w:tcPr>
            <w:tcW w:type="dxa" w:w="586"/>
            <w:tcBorders>
              <w:top w:val="single" w:color="CCCCCC" w:sz="1"/>
              <w:left w:val="single" w:color="CCCCCC" w:sz="1"/>
              <w:bottom w:val="single" w:color="CCCCCC" w:sz="1"/>
              <w:right w:val="single" w:color="CCCCCC" w:sz="1"/>
            </w:tcBorders>
            <w:shd w:fill="381D2A" w:val="clear"/>
            <w:tcMar>
              <w:top w:type="dxa" w:w="60"/>
              <w:left w:type="dxa" w:w="40"/>
              <w:bottom w:type="dxa" w:w="60"/>
              <w:right w:type="dxa" w:w="40"/>
            </w:tcMar>
          </w:tcPr>
          <w:p>
            <w:pPr>
              <w:jc w:val="center"/>
            </w:pPr>
            <w:r>
              <w:rPr>
                <w:rFonts w:ascii="Helvetica" w:cs="Helvetica" w:eastAsia="Helvetica" w:hAnsi="Helvetica"/>
                <w:b/>
                <w:bCs/>
                <w:color w:val="FFFFFF"/>
                <w:sz w:val="20"/>
                <w:szCs w:val="20"/>
              </w:rPr>
              <w:t xml:space="preserve">5</w:t>
            </w:r>
          </w:p>
        </w:tc>
      </w:tr>
      <w:tr>
        <w:tc>
          <w:tcPr>
            <w:tcW w:type="dxa" w:w="9026"/>
            <w:gridSpan w:val="6"/>
            <w:tcBorders>
              <w:top w:val="single" w:color="CCCCCC" w:sz="1"/>
              <w:left w:val="single" w:color="CCCCCC" w:sz="1"/>
              <w:bottom w:val="single" w:color="CCCCCC" w:sz="1"/>
              <w:right w:val="single" w:color="CCCCCC" w:sz="1"/>
            </w:tcBorders>
            <w:shd w:fill="3E6990" w:val="clear"/>
            <w:tcMar>
              <w:top w:type="dxa" w:w="100"/>
              <w:left w:type="dxa" w:w="120"/>
              <w:bottom w:type="dxa" w:w="100"/>
              <w:right w:type="dxa" w:w="120"/>
            </w:tcMar>
          </w:tcPr>
          <w:p>
            <w:r>
              <w:rPr>
                <w:rFonts w:ascii="Helvetica" w:cs="Helvetica" w:eastAsia="Helvetica" w:hAnsi="Helvetica"/>
                <w:b/>
                <w:bCs/>
                <w:color w:val="FFFFFF"/>
                <w:sz w:val="22"/>
                <w:szCs w:val="22"/>
              </w:rPr>
              <w:t xml:space="preserve">A. Current AI Usage (How are you using AI today?)</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use AI tools (ChatGPT, Claude, etc.) regularly</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AI is used for business tasks, not just personal/experimental</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Multiple team members use AI, not just one person</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have defined which tasks AI handles vs humans</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9026"/>
            <w:gridSpan w:val="6"/>
            <w:tcBorders>
              <w:top w:val="single" w:color="CCCCCC" w:sz="1"/>
              <w:left w:val="single" w:color="CCCCCC" w:sz="1"/>
              <w:bottom w:val="single" w:color="CCCCCC" w:sz="1"/>
              <w:right w:val="single" w:color="CCCCCC" w:sz="1"/>
            </w:tcBorders>
            <w:shd w:fill="3E6990" w:val="clear"/>
            <w:tcMar>
              <w:top w:type="dxa" w:w="100"/>
              <w:left w:type="dxa" w:w="120"/>
              <w:bottom w:type="dxa" w:w="100"/>
              <w:right w:type="dxa" w:w="120"/>
            </w:tcMar>
          </w:tcPr>
          <w:p>
            <w:r>
              <w:rPr>
                <w:rFonts w:ascii="Helvetica" w:cs="Helvetica" w:eastAsia="Helvetica" w:hAnsi="Helvetica"/>
                <w:b/>
                <w:bCs/>
                <w:color w:val="FFFFFF"/>
                <w:sz w:val="22"/>
                <w:szCs w:val="22"/>
              </w:rPr>
              <w:t xml:space="preserve">B. Data &amp; Knowledge Readiness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Our business processes are documented (SOPs, workflows)</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Our brand voice, guidelines, and key docs are written down</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Customer data is organised and accessible (CRM, database)</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have a central place for company knowledge</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9026"/>
            <w:gridSpan w:val="6"/>
            <w:tcBorders>
              <w:top w:val="single" w:color="CCCCCC" w:sz="1"/>
              <w:left w:val="single" w:color="CCCCCC" w:sz="1"/>
              <w:bottom w:val="single" w:color="CCCCCC" w:sz="1"/>
              <w:right w:val="single" w:color="CCCCCC" w:sz="1"/>
            </w:tcBorders>
            <w:shd w:fill="3E6990" w:val="clear"/>
            <w:tcMar>
              <w:top w:type="dxa" w:w="100"/>
              <w:left w:type="dxa" w:w="120"/>
              <w:bottom w:type="dxa" w:w="100"/>
              <w:right w:type="dxa" w:w="120"/>
            </w:tcMar>
          </w:tcPr>
          <w:p>
            <w:r>
              <w:rPr>
                <w:rFonts w:ascii="Helvetica" w:cs="Helvetica" w:eastAsia="Helvetica" w:hAnsi="Helvetica"/>
                <w:b/>
                <w:bCs/>
                <w:color w:val="FFFFFF"/>
                <w:sz w:val="22"/>
                <w:szCs w:val="22"/>
              </w:rPr>
              <w:t xml:space="preserve">C. Tool Integration &amp; Automation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Our main tools (CRM, email, accounting) talk to each other</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We've automated at least one repetitive workflow</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We've connected AI to our actual business data/tools</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can measure time saved from automation</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9026"/>
            <w:gridSpan w:val="6"/>
            <w:tcBorders>
              <w:top w:val="single" w:color="CCCCCC" w:sz="1"/>
              <w:left w:val="single" w:color="CCCCCC" w:sz="1"/>
              <w:bottom w:val="single" w:color="CCCCCC" w:sz="1"/>
              <w:right w:val="single" w:color="CCCCCC" w:sz="1"/>
            </w:tcBorders>
            <w:shd w:fill="3E6990" w:val="clear"/>
            <w:tcMar>
              <w:top w:type="dxa" w:w="100"/>
              <w:left w:type="dxa" w:w="120"/>
              <w:bottom w:type="dxa" w:w="100"/>
              <w:right w:type="dxa" w:w="120"/>
            </w:tcMar>
          </w:tcPr>
          <w:p>
            <w:r>
              <w:rPr>
                <w:rFonts w:ascii="Helvetica" w:cs="Helvetica" w:eastAsia="Helvetica" w:hAnsi="Helvetica"/>
                <w:b/>
                <w:bCs/>
                <w:color w:val="FFFFFF"/>
                <w:sz w:val="22"/>
                <w:szCs w:val="22"/>
              </w:rPr>
              <w:t xml:space="preserve">D. Team AI Capability</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Our team understands basic AI prompting</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At least one person can build/maintain AI workflows</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We've done formal AI training (not just self-taught)</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Our team trusts AI outputs enough to use them</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9026"/>
            <w:gridSpan w:val="6"/>
            <w:tcBorders>
              <w:top w:val="single" w:color="CCCCCC" w:sz="1"/>
              <w:left w:val="single" w:color="CCCCCC" w:sz="1"/>
              <w:bottom w:val="single" w:color="CCCCCC" w:sz="1"/>
              <w:right w:val="single" w:color="CCCCCC" w:sz="1"/>
            </w:tcBorders>
            <w:shd w:fill="3E6990" w:val="clear"/>
            <w:tcMar>
              <w:top w:type="dxa" w:w="100"/>
              <w:left w:type="dxa" w:w="120"/>
              <w:bottom w:type="dxa" w:w="100"/>
              <w:right w:type="dxa" w:w="120"/>
            </w:tcMar>
          </w:tcPr>
          <w:p>
            <w:r>
              <w:rPr>
                <w:rFonts w:ascii="Helvetica" w:cs="Helvetica" w:eastAsia="Helvetica" w:hAnsi="Helvetica"/>
                <w:b/>
                <w:bCs/>
                <w:color w:val="FFFFFF"/>
                <w:sz w:val="22"/>
                <w:szCs w:val="22"/>
              </w:rPr>
              <w:t xml:space="preserve">E. Strategy &amp; Governance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have a plan for how AI fits our business goals</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Someone owns AI implementation (not just 'everyone')</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We've considered data security/privacy for AI use</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review and improve our AI setup regularly</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9026"/>
            <w:gridSpan w:val="6"/>
            <w:tcBorders>
              <w:top w:val="single" w:color="CCCCCC" w:sz="1"/>
              <w:left w:val="single" w:color="CCCCCC" w:sz="1"/>
              <w:bottom w:val="single" w:color="CCCCCC" w:sz="1"/>
              <w:right w:val="single" w:color="CCCCCC" w:sz="1"/>
            </w:tcBorders>
            <w:shd w:fill="3E6990" w:val="clear"/>
            <w:tcMar>
              <w:top w:type="dxa" w:w="100"/>
              <w:left w:type="dxa" w:w="120"/>
              <w:bottom w:type="dxa" w:w="100"/>
              <w:right w:type="dxa" w:w="120"/>
            </w:tcMar>
          </w:tcPr>
          <w:p>
            <w:r>
              <w:rPr>
                <w:rFonts w:ascii="Helvetica" w:cs="Helvetica" w:eastAsia="Helvetica" w:hAnsi="Helvetica"/>
                <w:b/>
                <w:bCs/>
                <w:color w:val="FFFFFF"/>
                <w:sz w:val="22"/>
                <w:szCs w:val="22"/>
              </w:rPr>
              <w:t xml:space="preserve">F. Measurable Impact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can point to specific time saved by AI</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AI has improved quality/consistency of outputs</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We've seen revenue or cost impact from AI</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Clients/customers have noticed improvements</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6"/>
      </w:tblGrid>
      <w:tr>
        <w:tc>
          <w:tcPr>
            <w:tcW w:type="dxa" w:w="9026"/>
            <w:gridSpan w:val="3"/>
            <w:tcBorders>
              <w:top w:val="single" w:color="CCCCCC" w:sz="1"/>
              <w:left w:val="single" w:color="CCCCCC" w:sz="1"/>
              <w:bottom w:val="single" w:color="CCCCCC" w:sz="1"/>
              <w:right w:val="single" w:color="CCCCCC" w:sz="1"/>
            </w:tcBorders>
            <w:shd w:fill="381D2A" w:val="clear"/>
            <w:tcMar>
              <w:top w:type="dxa" w:w="80"/>
              <w:left w:type="dxa" w:w="120"/>
              <w:bottom w:type="dxa" w:w="80"/>
              <w:right w:type="dxa" w:w="120"/>
            </w:tcMar>
          </w:tcPr>
          <w:p>
            <w:r>
              <w:rPr>
                <w:rFonts w:ascii="Helvetica" w:cs="Helvetica" w:eastAsia="Helvetica" w:hAnsi="Helvetica"/>
                <w:b/>
                <w:bCs/>
                <w:color w:val="FFFFFF"/>
                <w:sz w:val="22"/>
                <w:szCs w:val="22"/>
              </w:rPr>
              <w:t xml:space="preserve">SCORING SUMMARY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A. Current AI Usage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E6990"/>
                <w:sz w:val="20"/>
                <w:szCs w:val="20"/>
              </w:rPr>
              <w:t xml:space="preserve">    / 20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B. Data &amp; Knowledge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E6990"/>
                <w:sz w:val="20"/>
                <w:szCs w:val="20"/>
              </w:rPr>
              <w:t xml:space="preserve">    / 20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C. Tool Integration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E6990"/>
                <w:sz w:val="20"/>
                <w:szCs w:val="20"/>
              </w:rPr>
              <w:t xml:space="preserve">    / 20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D. Team Capability</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E6990"/>
                <w:sz w:val="20"/>
                <w:szCs w:val="20"/>
              </w:rPr>
              <w:t xml:space="preserve">    / 20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E. Strategy &amp; Governance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E6990"/>
                <w:sz w:val="20"/>
                <w:szCs w:val="20"/>
              </w:rPr>
              <w:t xml:space="preserve">    / 20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F. Measurable Impact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E6990"/>
                <w:sz w:val="20"/>
                <w:szCs w:val="20"/>
              </w:rPr>
              <w:t xml:space="preserve">    / 20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
            </w:r>
          </w:p>
        </w:tc>
      </w:tr>
      <w:tr>
        <w:tc>
          <w:tcPr>
            <w:tcW w:type="dxa" w:w="4513"/>
            <w:tcBorders>
              <w:top w:val="single" w:color="CCCCCC" w:sz="1"/>
              <w:left w:val="single" w:color="CCCCCC" w:sz="1"/>
              <w:bottom w:val="single" w:color="CCCCCC" w:sz="1"/>
              <w:right w:val="single" w:color="CCCCCC" w:sz="1"/>
            </w:tcBorders>
            <w:shd w:fill="EBF2F7" w:val="clear"/>
            <w:tcMar>
              <w:top w:type="dxa" w:w="80"/>
              <w:left w:type="dxa" w:w="120"/>
              <w:bottom w:type="dxa" w:w="80"/>
              <w:right w:type="dxa" w:w="120"/>
            </w:tcMar>
          </w:tcPr>
          <w:p>
            <w:r>
              <w:rPr>
                <w:rFonts w:ascii="Helvetica" w:cs="Helvetica" w:eastAsia="Helvetica" w:hAnsi="Helvetica"/>
                <w:b/>
                <w:bCs/>
                <w:color w:val="381D2A"/>
                <w:sz w:val="22"/>
                <w:szCs w:val="22"/>
              </w:rPr>
              <w:t xml:space="preserve">TOTAL SCORE</w:t>
            </w:r>
          </w:p>
        </w:tc>
        <w:tc>
          <w:tcPr>
            <w:tcW w:type="dxa" w:w="2256"/>
            <w:tcBorders>
              <w:top w:val="single" w:color="CCCCCC" w:sz="1"/>
              <w:left w:val="single" w:color="CCCCCC" w:sz="1"/>
              <w:bottom w:val="single" w:color="CCCCCC" w:sz="1"/>
              <w:right w:val="single" w:color="CCCCCC" w:sz="1"/>
            </w:tcBorders>
            <w:shd w:fill="EBF2F7" w:val="clear"/>
            <w:tcMar>
              <w:top w:type="dxa" w:w="80"/>
              <w:left w:type="dxa" w:w="120"/>
              <w:bottom w:type="dxa" w:w="80"/>
              <w:right w:type="dxa" w:w="120"/>
            </w:tcMar>
          </w:tcPr>
          <w:p>
            <w:r>
              <w:rPr>
                <w:rFonts w:ascii="Helvetica" w:cs="Helvetica" w:eastAsia="Helvetica" w:hAnsi="Helvetica"/>
                <w:b/>
                <w:bCs/>
                <w:color w:val="F05A00"/>
                <w:sz w:val="22"/>
                <w:szCs w:val="22"/>
              </w:rPr>
              <w:t xml:space="preserve">    / 120</w:t>
            </w:r>
          </w:p>
        </w:tc>
        <w:tc>
          <w:tcPr>
            <w:tcW w:type="dxa" w:w="2256"/>
            <w:tcBorders>
              <w:top w:val="single" w:color="CCCCCC" w:sz="1"/>
              <w:left w:val="single" w:color="CCCCCC" w:sz="1"/>
              <w:bottom w:val="single" w:color="CCCCCC" w:sz="1"/>
              <w:right w:val="single" w:color="CCCCCC" w:sz="1"/>
            </w:tcBorders>
            <w:shd w:fill="EBF2F7" w:val="clear"/>
            <w:tcMar>
              <w:top w:type="dxa" w:w="80"/>
              <w:left w:type="dxa" w:w="120"/>
              <w:bottom w:type="dxa" w:w="80"/>
              <w:right w:type="dxa" w:w="120"/>
            </w:tcMar>
          </w:tcPr>
          <w:p>
            <w:r>
              <w:rPr>
                <w:rFonts w:ascii="Helvetica" w:cs="Helvetica" w:eastAsia="Helvetica" w:hAnsi="Helvetica"/>
                <w:color w:val="381D2A"/>
                <w:sz w:val="22"/>
                <w:szCs w:val="22"/>
              </w:rPr>
              <w:t xml:space="preserve"/>
            </w:r>
          </w:p>
        </w:tc>
      </w:tr>
    </w:tbl>
    <w:p>
      <w:r>
        <w:br w:type="page"/>
      </w:r>
    </w:p>
    <w:p>
      <w:pPr>
        <w:pStyle w:val="Heading1"/>
        <w:spacing w:after="200" w:before="360"/>
      </w:pPr>
      <w:r>
        <w:rPr>
          <w:rFonts w:ascii="Helvetica" w:cs="Helvetica" w:eastAsia="Helvetica" w:hAnsi="Helvetica"/>
          <w:b/>
          <w:bCs/>
          <w:color w:val="381D2A"/>
          <w:sz w:val="36"/>
          <w:szCs w:val="36"/>
        </w:rPr>
        <w:t xml:space="preserve">Score Interpretation</w:t>
      </w:r>
    </w:p>
    <w:p>
      <w:pPr>
        <w:spacing w:after="160" w:line="300"/>
      </w:pPr>
      <w:r>
        <w:rPr>
          <w:rFonts w:ascii="Helvetica" w:cs="Helvetica" w:eastAsia="Helvetica" w:hAnsi="Helvetica"/>
          <w:color w:val="381D2A"/>
          <w:sz w:val="21"/>
          <w:szCs w:val="21"/>
        </w:rPr>
        <w:t xml:space="preserve">Your total score maps to the four stages of AI adoption identified in our research across 54 Australian SMBs. Each stage has a clear set of priorities.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353"/>
            <w:tcBorders>
              <w:top w:val="single" w:color="CCCCCC" w:sz="1"/>
              <w:left w:val="single" w:color="CCCCCC" w:sz="1"/>
              <w:bottom w:val="single" w:color="CCCCCC" w:sz="1"/>
              <w:right w:val="single" w:color="CCCCCC" w:sz="1"/>
            </w:tcBorders>
            <w:shd w:fill="381D2A" w:val="clear"/>
            <w:tcMar>
              <w:top w:type="dxa" w:w="80"/>
              <w:left w:type="dxa" w:w="120"/>
              <w:bottom w:type="dxa" w:w="80"/>
              <w:right w:type="dxa" w:w="120"/>
            </w:tcMar>
          </w:tcPr>
          <w:p>
            <w:pPr>
              <w:jc w:val="center"/>
            </w:pPr>
            <w:r>
              <w:rPr>
                <w:rFonts w:ascii="Helvetica" w:cs="Helvetica" w:eastAsia="Helvetica" w:hAnsi="Helvetica"/>
                <w:b/>
                <w:bCs/>
                <w:color w:val="FFFFFF"/>
                <w:sz w:val="20"/>
                <w:szCs w:val="20"/>
              </w:rPr>
              <w:t xml:space="preserve">Score</w:t>
            </w:r>
          </w:p>
        </w:tc>
        <w:tc>
          <w:tcPr>
            <w:tcW w:type="dxa" w:w="1805"/>
            <w:tcBorders>
              <w:top w:val="single" w:color="CCCCCC" w:sz="1"/>
              <w:left w:val="single" w:color="CCCCCC" w:sz="1"/>
              <w:bottom w:val="single" w:color="CCCCCC" w:sz="1"/>
              <w:right w:val="single" w:color="CCCCCC" w:sz="1"/>
            </w:tcBorders>
            <w:shd w:fill="381D2A" w:val="clear"/>
            <w:tcMar>
              <w:top w:type="dxa" w:w="80"/>
              <w:left w:type="dxa" w:w="120"/>
              <w:bottom w:type="dxa" w:w="80"/>
              <w:right w:type="dxa" w:w="120"/>
            </w:tcMar>
          </w:tcPr>
          <w:p>
            <w:r>
              <w:rPr>
                <w:rFonts w:ascii="Helvetica" w:cs="Helvetica" w:eastAsia="Helvetica" w:hAnsi="Helvetica"/>
                <w:b/>
                <w:bCs/>
                <w:color w:val="FFFFFF"/>
                <w:sz w:val="20"/>
                <w:szCs w:val="20"/>
              </w:rPr>
              <w:t xml:space="preserve">Stage</w:t>
            </w:r>
          </w:p>
        </w:tc>
        <w:tc>
          <w:tcPr>
            <w:tcW w:type="dxa" w:w="5867"/>
            <w:tcBorders>
              <w:top w:val="single" w:color="CCCCCC" w:sz="1"/>
              <w:left w:val="single" w:color="CCCCCC" w:sz="1"/>
              <w:bottom w:val="single" w:color="CCCCCC" w:sz="1"/>
              <w:right w:val="single" w:color="CCCCCC" w:sz="1"/>
            </w:tcBorders>
            <w:shd w:fill="381D2A" w:val="clear"/>
            <w:tcMar>
              <w:top w:type="dxa" w:w="80"/>
              <w:left w:type="dxa" w:w="120"/>
              <w:bottom w:type="dxa" w:w="80"/>
              <w:right w:type="dxa" w:w="120"/>
            </w:tcMar>
          </w:tcPr>
          <w:p>
            <w:r>
              <w:rPr>
                <w:rFonts w:ascii="Helvetica" w:cs="Helvetica" w:eastAsia="Helvetica" w:hAnsi="Helvetica"/>
                <w:b/>
                <w:bCs/>
                <w:color w:val="FFFFFF"/>
                <w:sz w:val="20"/>
                <w:szCs w:val="20"/>
              </w:rPr>
              <w:t xml:space="preserve">What This Means</w:t>
            </w:r>
          </w:p>
        </w:tc>
      </w:tr>
      <w:tr>
        <w:tc>
          <w:tcPr>
            <w:tcW w:type="dxa" w:w="1353"/>
            <w:tcBorders>
              <w:top w:val="single" w:color="CCCCCC" w:sz="1"/>
              <w:left w:val="single" w:color="CCCCCC" w:sz="1"/>
              <w:bottom w:val="single" w:color="CCCCCC" w:sz="1"/>
              <w:right w:val="single" w:color="CCCCCC" w:sz="1"/>
            </w:tcBorders>
            <w:shd w:fill="999999" w:val="clear"/>
            <w:tcMar>
              <w:top w:type="dxa" w:w="80"/>
              <w:left w:type="dxa" w:w="120"/>
              <w:bottom w:type="dxa" w:w="80"/>
              <w:right w:type="dxa" w:w="120"/>
            </w:tcMar>
          </w:tcPr>
          <w:p>
            <w:pPr>
              <w:jc w:val="center"/>
            </w:pPr>
            <w:r>
              <w:rPr>
                <w:rFonts w:ascii="Helvetica" w:cs="Helvetica" w:eastAsia="Helvetica" w:hAnsi="Helvetica"/>
                <w:b/>
                <w:bCs/>
                <w:color w:val="FFFFFF"/>
                <w:sz w:val="20"/>
                <w:szCs w:val="20"/>
              </w:rPr>
              <w:t xml:space="preserve">24–40</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b/>
                <w:bCs/>
                <w:color w:val="381D2A"/>
                <w:sz w:val="20"/>
                <w:szCs w:val="20"/>
              </w:rPr>
              <w:t xml:space="preserve">Stage 1: Unaware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19"/>
                <w:szCs w:val="19"/>
              </w:rPr>
              <w:t xml:space="preserve">You haven't started with AI or only experimented casually. Priority: awareness and first-use workshops to understand what's possible.</w:t>
            </w:r>
          </w:p>
        </w:tc>
      </w:tr>
      <w:tr>
        <w:tc>
          <w:tcPr>
            <w:tcW w:type="dxa" w:w="1353"/>
            <w:tcBorders>
              <w:top w:val="single" w:color="CCCCCC" w:sz="1"/>
              <w:left w:val="single" w:color="CCCCCC" w:sz="1"/>
              <w:bottom w:val="single" w:color="CCCCCC" w:sz="1"/>
              <w:right w:val="single" w:color="CCCCCC" w:sz="1"/>
            </w:tcBorders>
            <w:shd w:fill="F39B6D" w:val="clear"/>
            <w:tcMar>
              <w:top w:type="dxa" w:w="80"/>
              <w:left w:type="dxa" w:w="120"/>
              <w:bottom w:type="dxa" w:w="80"/>
              <w:right w:type="dxa" w:w="120"/>
            </w:tcMar>
          </w:tcPr>
          <w:p>
            <w:pPr>
              <w:jc w:val="center"/>
            </w:pPr>
            <w:r>
              <w:rPr>
                <w:rFonts w:ascii="Helvetica" w:cs="Helvetica" w:eastAsia="Helvetica" w:hAnsi="Helvetica"/>
                <w:b/>
                <w:bCs/>
                <w:color w:val="FFFFFF"/>
                <w:sz w:val="20"/>
                <w:szCs w:val="20"/>
              </w:rPr>
              <w:t xml:space="preserve">41–65</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b/>
                <w:bCs/>
                <w:color w:val="381D2A"/>
                <w:sz w:val="20"/>
                <w:szCs w:val="20"/>
              </w:rPr>
              <w:t xml:space="preserve">Stage 2: ChatGPT Plateau</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19"/>
                <w:szCs w:val="19"/>
              </w:rPr>
              <w:t xml:space="preserve">You're using AI but it's not connected to your business. This is where 50% of Australian SMBs sit. Priority: pick ONE workflow and integrate AI properly.</w:t>
            </w:r>
          </w:p>
        </w:tc>
      </w:tr>
      <w:tr>
        <w:tc>
          <w:tcPr>
            <w:tcW w:type="dxa" w:w="1353"/>
            <w:tcBorders>
              <w:top w:val="single" w:color="CCCCCC" w:sz="1"/>
              <w:left w:val="single" w:color="CCCCCC" w:sz="1"/>
              <w:bottom w:val="single" w:color="CCCCCC" w:sz="1"/>
              <w:right w:val="single" w:color="CCCCCC" w:sz="1"/>
            </w:tcBorders>
            <w:shd w:fill="3E6990" w:val="clear"/>
            <w:tcMar>
              <w:top w:type="dxa" w:w="80"/>
              <w:left w:type="dxa" w:w="120"/>
              <w:bottom w:type="dxa" w:w="80"/>
              <w:right w:type="dxa" w:w="120"/>
            </w:tcMar>
          </w:tcPr>
          <w:p>
            <w:pPr>
              <w:jc w:val="center"/>
            </w:pPr>
            <w:r>
              <w:rPr>
                <w:rFonts w:ascii="Helvetica" w:cs="Helvetica" w:eastAsia="Helvetica" w:hAnsi="Helvetica"/>
                <w:b/>
                <w:bCs/>
                <w:color w:val="FFFFFF"/>
                <w:sz w:val="20"/>
                <w:szCs w:val="20"/>
              </w:rPr>
              <w:t xml:space="preserve">66–90</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b/>
                <w:bCs/>
                <w:color w:val="381D2A"/>
                <w:sz w:val="20"/>
                <w:szCs w:val="20"/>
              </w:rPr>
              <w:t xml:space="preserve">Stage 3: Enabled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19"/>
                <w:szCs w:val="19"/>
              </w:rPr>
              <w:t xml:space="preserve">AI is embedded in some processes. You're ahead of most SMBs. Priority: expand to more workflows, train the team, and build governance.</w:t>
            </w:r>
          </w:p>
        </w:tc>
      </w:tr>
      <w:tr>
        <w:tc>
          <w:tcPr>
            <w:tcW w:type="dxa" w:w="1353"/>
            <w:tcBorders>
              <w:top w:val="single" w:color="CCCCCC" w:sz="1"/>
              <w:left w:val="single" w:color="CCCCCC" w:sz="1"/>
              <w:bottom w:val="single" w:color="CCCCCC" w:sz="1"/>
              <w:right w:val="single" w:color="CCCCCC" w:sz="1"/>
            </w:tcBorders>
            <w:shd w:fill="F05A00" w:val="clear"/>
            <w:tcMar>
              <w:top w:type="dxa" w:w="80"/>
              <w:left w:type="dxa" w:w="120"/>
              <w:bottom w:type="dxa" w:w="80"/>
              <w:right w:type="dxa" w:w="120"/>
            </w:tcMar>
          </w:tcPr>
          <w:p>
            <w:pPr>
              <w:jc w:val="center"/>
            </w:pPr>
            <w:r>
              <w:rPr>
                <w:rFonts w:ascii="Helvetica" w:cs="Helvetica" w:eastAsia="Helvetica" w:hAnsi="Helvetica"/>
                <w:b/>
                <w:bCs/>
                <w:color w:val="FFFFFF"/>
                <w:sz w:val="20"/>
                <w:szCs w:val="20"/>
              </w:rPr>
              <w:t xml:space="preserve">91–120</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b/>
                <w:bCs/>
                <w:color w:val="381D2A"/>
                <w:sz w:val="20"/>
                <w:szCs w:val="20"/>
              </w:rPr>
              <w:t xml:space="preserve">Stage 4: AI-Native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19"/>
                <w:szCs w:val="19"/>
              </w:rPr>
              <w:t xml:space="preserve">AI is a core part of how your business operates. You're in the top 5%. Priority: continuous improvement, advanced automation, and competitive moat.</w:t>
            </w:r>
          </w:p>
        </w:tc>
      </w:tr>
    </w:tbl>
    <w:p>
      <w:pPr>
        <w:spacing w:after="0" w:before="200"/>
      </w:pPr>
    </w:p>
    <w:p>
      <w:pPr>
        <w:pStyle w:val="Heading2"/>
        <w:spacing w:after="160" w:before="280"/>
      </w:pPr>
      <w:r>
        <w:rPr>
          <w:rFonts w:ascii="Helvetica" w:cs="Helvetica" w:eastAsia="Helvetica" w:hAnsi="Helvetica"/>
          <w:b/>
          <w:bCs/>
          <w:color w:val="3E6990"/>
          <w:sz w:val="28"/>
          <w:szCs w:val="28"/>
        </w:rPr>
        <w:t xml:space="preserve">Reading Your Section Scores</w:t>
      </w:r>
    </w:p>
    <w:p>
      <w:pPr>
        <w:spacing w:after="160" w:line="300"/>
      </w:pPr>
      <w:r>
        <w:rPr>
          <w:rFonts w:ascii="Helvetica" w:cs="Helvetica" w:eastAsia="Helvetica" w:hAnsi="Helvetica"/>
          <w:color w:val="381D2A"/>
          <w:sz w:val="21"/>
          <w:szCs w:val="21"/>
        </w:rPr>
        <w:t xml:space="preserve">Your total score tells you where you sit overall, but the section breakdown shows where to focus. Look for your lowest-scoring section — that's your constraint.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59"/>
            <w:tcBorders>
              <w:top w:val="single" w:color="CCCCCC" w:sz="1"/>
              <w:left w:val="single" w:color="CCCCCC" w:sz="1"/>
              <w:bottom w:val="single" w:color="CCCCCC" w:sz="1"/>
              <w:right w:val="single" w:color="CCCCCC" w:sz="1"/>
            </w:tcBorders>
            <w:shd w:fill="3E6990" w:val="clear"/>
            <w:tcMar>
              <w:top w:type="dxa" w:w="80"/>
              <w:left w:type="dxa" w:w="120"/>
              <w:bottom w:type="dxa" w:w="80"/>
              <w:right w:type="dxa" w:w="120"/>
            </w:tcMar>
          </w:tcPr>
          <w:p>
            <w:r>
              <w:rPr>
                <w:rFonts w:ascii="Helvetica" w:cs="Helvetica" w:eastAsia="Helvetica" w:hAnsi="Helvetica"/>
                <w:b/>
                <w:bCs/>
                <w:color w:val="FFFFFF"/>
                <w:sz w:val="20"/>
                <w:szCs w:val="20"/>
              </w:rPr>
              <w:t xml:space="preserve">If your lowest section is...</w:t>
            </w:r>
          </w:p>
        </w:tc>
        <w:tc>
          <w:tcPr>
            <w:tcW w:type="dxa" w:w="5867"/>
            <w:tcBorders>
              <w:top w:val="single" w:color="CCCCCC" w:sz="1"/>
              <w:left w:val="single" w:color="CCCCCC" w:sz="1"/>
              <w:bottom w:val="single" w:color="CCCCCC" w:sz="1"/>
              <w:right w:val="single" w:color="CCCCCC" w:sz="1"/>
            </w:tcBorders>
            <w:shd w:fill="3E6990" w:val="clear"/>
            <w:tcMar>
              <w:top w:type="dxa" w:w="80"/>
              <w:left w:type="dxa" w:w="120"/>
              <w:bottom w:type="dxa" w:w="80"/>
              <w:right w:type="dxa" w:w="120"/>
            </w:tcMar>
          </w:tcPr>
          <w:p>
            <w:r>
              <w:rPr>
                <w:rFonts w:ascii="Helvetica" w:cs="Helvetica" w:eastAsia="Helvetica" w:hAnsi="Helvetica"/>
                <w:b/>
                <w:bCs/>
                <w:color w:val="FFFFFF"/>
                <w:sz w:val="20"/>
                <w:szCs w:val="20"/>
              </w:rPr>
              <w:t xml:space="preserve">Your priority action</w:t>
            </w:r>
          </w:p>
        </w:tc>
      </w:tr>
      <w:tr>
        <w:tc>
          <w:tcPr>
            <w:tcW w:type="dxa" w:w="3159"/>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Helvetica" w:cs="Helvetica" w:eastAsia="Helvetica" w:hAnsi="Helvetica"/>
                <w:b/>
                <w:bCs/>
                <w:color w:val="381D2A"/>
                <w:sz w:val="20"/>
                <w:szCs w:val="20"/>
              </w:rPr>
              <w:t xml:space="preserve">A. Current AI Usage</w:t>
            </w:r>
          </w:p>
        </w:tc>
        <w:tc>
          <w:tcPr>
            <w:tcW w:type="dxa" w:w="5867"/>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Helvetica" w:cs="Helvetica" w:eastAsia="Helvetica" w:hAnsi="Helvetica"/>
                <w:color w:val="381D2A"/>
                <w:sz w:val="19"/>
                <w:szCs w:val="19"/>
              </w:rPr>
              <w:t xml:space="preserve">Start using AI for real business tasks daily. Pick one thing you do every day and try it with Claude or ChatGPT this week.</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bCs/>
                <w:color w:val="381D2A"/>
                <w:sz w:val="20"/>
                <w:szCs w:val="20"/>
              </w:rPr>
              <w:t xml:space="preserve">B. Data &amp; Knowledge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color w:val="381D2A"/>
                <w:sz w:val="19"/>
                <w:szCs w:val="19"/>
              </w:rPr>
              <w:t xml:space="preserve">Document your processes before adding AI. Write down your top 5 SOPs, brand voice, and client FAQ. This is the foundation.</w:t>
            </w:r>
          </w:p>
        </w:tc>
      </w:tr>
      <w:tr>
        <w:tc>
          <w:tcPr>
            <w:tcW w:type="dxa" w:w="3159"/>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Helvetica" w:cs="Helvetica" w:eastAsia="Helvetica" w:hAnsi="Helvetica"/>
                <w:b/>
                <w:bCs/>
                <w:color w:val="381D2A"/>
                <w:sz w:val="20"/>
                <w:szCs w:val="20"/>
              </w:rPr>
              <w:t xml:space="preserve">C. Tool Integration</w:t>
            </w:r>
          </w:p>
        </w:tc>
        <w:tc>
          <w:tcPr>
            <w:tcW w:type="dxa" w:w="5867"/>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Helvetica" w:cs="Helvetica" w:eastAsia="Helvetica" w:hAnsi="Helvetica"/>
                <w:color w:val="381D2A"/>
                <w:sz w:val="19"/>
                <w:szCs w:val="19"/>
              </w:rPr>
              <w:t xml:space="preserve">Connect your tools. Map which platforms you use and identify the manual handoffs between them. One automation can save hours per week.</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bCs/>
                <w:color w:val="381D2A"/>
                <w:sz w:val="20"/>
                <w:szCs w:val="20"/>
              </w:rPr>
              <w:t xml:space="preserve">D. Team Capability</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color w:val="381D2A"/>
                <w:sz w:val="19"/>
                <w:szCs w:val="19"/>
              </w:rPr>
              <w:t xml:space="preserve">Invest in training. Your team needs structured prompting skills, not just tool access. Book a workshop or get hands-on coaching.</w:t>
            </w:r>
          </w:p>
        </w:tc>
      </w:tr>
      <w:tr>
        <w:tc>
          <w:tcPr>
            <w:tcW w:type="dxa" w:w="3159"/>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Helvetica" w:cs="Helvetica" w:eastAsia="Helvetica" w:hAnsi="Helvetica"/>
                <w:b/>
                <w:bCs/>
                <w:color w:val="381D2A"/>
                <w:sz w:val="20"/>
                <w:szCs w:val="20"/>
              </w:rPr>
              <w:t xml:space="preserve">E. Strategy &amp; Governance</w:t>
            </w:r>
          </w:p>
        </w:tc>
        <w:tc>
          <w:tcPr>
            <w:tcW w:type="dxa" w:w="5867"/>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Helvetica" w:cs="Helvetica" w:eastAsia="Helvetica" w:hAnsi="Helvetica"/>
                <w:color w:val="381D2A"/>
                <w:sz w:val="19"/>
                <w:szCs w:val="19"/>
              </w:rPr>
              <w:t xml:space="preserve">Assign an owner. Someone needs to be responsible for your AI implementation — with a plan, timeline, and measurable goals.</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bCs/>
                <w:color w:val="381D2A"/>
                <w:sz w:val="20"/>
                <w:szCs w:val="20"/>
              </w:rPr>
              <w:t xml:space="preserve">F. Measurable Impact</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color w:val="381D2A"/>
                <w:sz w:val="19"/>
                <w:szCs w:val="19"/>
              </w:rPr>
              <w:t xml:space="preserve">Start measuring. Track time before and after AI on your top 3 tasks. You can't improve what you don't measure.</w:t>
            </w:r>
          </w:p>
        </w:tc>
      </w:tr>
    </w:tbl>
    <w:p>
      <w:r>
        <w:br w:type="page"/>
      </w:r>
    </w:p>
    <w:p>
      <w:pPr>
        <w:pStyle w:val="Heading1"/>
        <w:spacing w:after="200" w:before="360"/>
      </w:pPr>
      <w:r>
        <w:rPr>
          <w:rFonts w:ascii="Helvetica" w:cs="Helvetica" w:eastAsia="Helvetica" w:hAnsi="Helvetica"/>
          <w:b/>
          <w:bCs/>
          <w:color w:val="381D2A"/>
          <w:sz w:val="36"/>
          <w:szCs w:val="36"/>
        </w:rPr>
        <w:t xml:space="preserve">Your Next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BF2F7" w:val="clear"/>
            <w:tcMar>
              <w:top w:type="dxa" w:w="300"/>
              <w:left w:type="dxa" w:w="400"/>
              <w:bottom w:type="dxa" w:w="300"/>
              <w:right w:type="dxa" w:w="400"/>
            </w:tcMar>
          </w:tcPr>
          <w:p>
            <w:pPr>
              <w:spacing w:after="120"/>
            </w:pPr>
            <w:r>
              <w:rPr>
                <w:rFonts w:ascii="Helvetica" w:cs="Helvetica" w:eastAsia="Helvetica" w:hAnsi="Helvetica"/>
                <w:b/>
                <w:bCs/>
                <w:color w:val="381D2A"/>
                <w:sz w:val="26"/>
                <w:szCs w:val="26"/>
              </w:rPr>
              <w:t xml:space="preserve">Stage 1–2? Start here.</w:t>
            </w:r>
          </w:p>
          <w:p>
            <w:pPr>
              <w:spacing w:after="100" w:line="300"/>
            </w:pPr>
            <w:r>
              <w:rPr>
                <w:rFonts w:ascii="Helvetica" w:cs="Helvetica" w:eastAsia="Helvetica" w:hAnsi="Helvetica"/>
                <w:color w:val="381D2A"/>
                <w:sz w:val="21"/>
                <w:szCs w:val="21"/>
              </w:rPr>
              <w:t xml:space="preserve">Book a free 30-minute Discovery Call. We'll review your scorecard together, identify the highest-impact opportunity, and give you a clear next step — whether that's working with us or not.</w:t>
            </w:r>
          </w:p>
          <w:p>
            <w:pPr>
              <w:spacing w:after="200"/>
            </w:pPr>
            <w:r>
              <w:rPr>
                <w:rFonts w:ascii="Helvetica" w:cs="Helvetica" w:eastAsia="Helvetica" w:hAnsi="Helvetica"/>
                <w:b/>
                <w:bCs/>
                <w:color w:val="F05A00"/>
                <w:sz w:val="22"/>
                <w:szCs w:val="22"/>
              </w:rPr>
              <w:t xml:space="preserve">techhorizonlabs.com/discovery</w:t>
            </w:r>
          </w:p>
          <w:p>
            <w:pPr>
              <w:spacing w:after="120"/>
            </w:pPr>
            <w:r>
              <w:rPr>
                <w:rFonts w:ascii="Helvetica" w:cs="Helvetica" w:eastAsia="Helvetica" w:hAnsi="Helvetica"/>
                <w:b/>
                <w:bCs/>
                <w:color w:val="381D2A"/>
                <w:sz w:val="26"/>
                <w:szCs w:val="26"/>
              </w:rPr>
              <w:t xml:space="preserve">Stage 3? Accelerate.</w:t>
            </w:r>
          </w:p>
          <w:p>
            <w:pPr>
              <w:spacing w:after="100" w:line="300"/>
            </w:pPr>
            <w:r>
              <w:rPr>
                <w:rFonts w:ascii="Helvetica" w:cs="Helvetica" w:eastAsia="Helvetica" w:hAnsi="Helvetica"/>
                <w:color w:val="381D2A"/>
                <w:sz w:val="21"/>
                <w:szCs w:val="21"/>
              </w:rPr>
              <w:t xml:space="preserve">You're ahead of 83% of Australian SMBs. Our Pro tier ($300/mo) gives you monthly strategy calls, custom automation builds, and unlimited workshops to scale what's working.</w:t>
            </w:r>
          </w:p>
          <w:p>
            <w:pPr>
              <w:spacing w:after="200"/>
            </w:pPr>
            <w:r>
              <w:rPr>
                <w:rFonts w:ascii="Helvetica" w:cs="Helvetica" w:eastAsia="Helvetica" w:hAnsi="Helvetica"/>
                <w:b/>
                <w:bCs/>
                <w:color w:val="F05A00"/>
                <w:sz w:val="22"/>
                <w:szCs w:val="22"/>
              </w:rPr>
              <w:t xml:space="preserve">techhorizon.academy</w:t>
            </w:r>
          </w:p>
          <w:p>
            <w:pPr>
              <w:spacing w:after="120"/>
            </w:pPr>
            <w:r>
              <w:rPr>
                <w:rFonts w:ascii="Helvetica" w:cs="Helvetica" w:eastAsia="Helvetica" w:hAnsi="Helvetica"/>
                <w:b/>
                <w:bCs/>
                <w:color w:val="381D2A"/>
                <w:sz w:val="26"/>
                <w:szCs w:val="26"/>
              </w:rPr>
              <w:t xml:space="preserve">Stage 4? Partner.</w:t>
            </w:r>
          </w:p>
          <w:p>
            <w:pPr>
              <w:spacing w:after="100" w:line="300"/>
            </w:pPr>
            <w:r>
              <w:rPr>
                <w:rFonts w:ascii="Helvetica" w:cs="Helvetica" w:eastAsia="Helvetica" w:hAnsi="Helvetica"/>
                <w:color w:val="381D2A"/>
                <w:sz w:val="21"/>
                <w:szCs w:val="21"/>
              </w:rPr>
              <w:t xml:space="preserve">You need a strategic partner, not a course. Our Partner tier ($1,000/mo) includes weekly strategy sessions, a dedicated AI roadmap, 5 team seats, and custom automation builds.</w:t>
            </w:r>
          </w:p>
          <w:p>
            <w:pPr>
              <w:spacing w:after="40"/>
            </w:pPr>
            <w:r>
              <w:rPr>
                <w:rFonts w:ascii="Helvetica" w:cs="Helvetica" w:eastAsia="Helvetica" w:hAnsi="Helvetica"/>
                <w:b/>
                <w:bCs/>
                <w:color w:val="F05A00"/>
                <w:sz w:val="22"/>
                <w:szCs w:val="22"/>
              </w:rPr>
              <w:t xml:space="preserve">Email huxley@thzn.world to apply.</w:t>
            </w:r>
          </w:p>
        </w:tc>
      </w:tr>
    </w:tbl>
    <w:p>
      <w:pPr>
        <w:spacing w:after="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tcMar>
              <w:top w:type="dxa" w:w="200"/>
              <w:left w:type="dxa" w:w="300"/>
              <w:bottom w:type="dxa" w:w="200"/>
              <w:right w:type="dxa" w:w="300"/>
            </w:tcMar>
          </w:tcPr>
          <w:p>
            <w:pPr>
              <w:spacing w:after="80"/>
            </w:pPr>
            <w:r>
              <w:rPr>
                <w:rFonts w:ascii="Helvetica" w:cs="Helvetica" w:eastAsia="Helvetica" w:hAnsi="Helvetica"/>
                <w:b/>
                <w:bCs/>
                <w:color w:val="381D2A"/>
                <w:sz w:val="24"/>
                <w:szCs w:val="24"/>
              </w:rPr>
              <w:t xml:space="preserve">About This Scorecard</w:t>
            </w:r>
          </w:p>
          <w:p>
            <w:pPr>
              <w:spacing w:after="80" w:line="300"/>
            </w:pPr>
            <w:r>
              <w:rPr>
                <w:rFonts w:ascii="Helvetica" w:cs="Helvetica" w:eastAsia="Helvetica" w:hAnsi="Helvetica"/>
                <w:color w:val="381D2A"/>
                <w:sz w:val="19"/>
                <w:szCs w:val="19"/>
              </w:rPr>
              <w:t xml:space="preserve">This scorecard was developed by Tech Horizon Labs using data from 54 Australian SMBs, the Anthropic Economic Index (March 2026), and the GDPval benchmark. The six dimensions reflect the actual patterns we observe in businesses transitioning from ad hoc AI use to systematic implementation.</w:t>
            </w:r>
          </w:p>
          <w:p>
            <w:pPr>
              <w:spacing w:after="40" w:line="300"/>
            </w:pPr>
            <w:r>
              <w:rPr>
                <w:rFonts w:ascii="Helvetica" w:cs="Helvetica" w:eastAsia="Helvetica" w:hAnsi="Helvetica"/>
                <w:i/>
                <w:iCs/>
                <w:color w:val="3E6990"/>
                <w:sz w:val="19"/>
                <w:szCs w:val="19"/>
              </w:rPr>
              <w:t xml:space="preserve">For the full research behind this framework, download the State of AI Readiness: Australian Small Business, 2026 report at techhorizonlabs.com/readiness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3E6990"/>
        <w:sz w:val="16"/>
        <w:szCs w:val="16"/>
      </w:rPr>
      <w:t xml:space="preserve">techhorizonlabs.com  |  Page </w:t>
    </w:r>
    <w:r>
      <w:rPr>
        <w:rFonts w:ascii="Helvetica" w:cs="Helvetica" w:eastAsia="Helvetica" w:hAnsi="Helvetica"/>
        <w:color w:val="3E69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w:cs="Helvetica" w:eastAsia="Helvetica" w:hAnsi="Helvetica"/>
        <w:i/>
        <w:iCs/>
        <w:color w:val="3E6990"/>
        <w:sz w:val="16"/>
        <w:szCs w:val="16"/>
      </w:rPr>
      <w:t xml:space="preserve">AI Readiness Scorecard  |  Tech Horizon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2026-04-03T08:31:27.596Z</dcterms:created>
  <dcterms:modified xsi:type="dcterms:W3CDTF">2026-04-03T08:31:27.596Z</dcterms:modified>
</cp:coreProperties>
</file>

<file path=docProps/custom.xml><?xml version="1.0" encoding="utf-8"?>
<Properties xmlns="http://schemas.openxmlformats.org/officeDocument/2006/custom-properties" xmlns:vt="http://schemas.openxmlformats.org/officeDocument/2006/docPropsVTypes"/>
</file>