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r>
        <w:rPr>
          <w:rFonts w:ascii="Helvetica" w:cs="Helvetica" w:eastAsia="Helvetica" w:hAnsi="Helvetica"/>
          <w:b/>
          <w:bCs/>
          <w:color w:val="F05A00"/>
          <w:sz w:val="52"/>
          <w:szCs w:val="52"/>
        </w:rPr>
        <w:t xml:space="preserve">AI READINESS</w:t>
      </w:r>
    </w:p>
    <w:p>
      <w:pPr>
        <w:spacing w:before="60"/>
      </w:pPr>
      <w:r>
        <w:rPr>
          <w:rFonts w:ascii="Helvetica" w:cs="Helvetica" w:eastAsia="Helvetica" w:hAnsi="Helvetica"/>
          <w:b/>
          <w:bCs/>
          <w:color w:val="381D2A"/>
          <w:sz w:val="52"/>
          <w:szCs w:val="52"/>
        </w:rPr>
        <w:t xml:space="preserve">SCORECARD</w:t>
      </w:r>
    </w:p>
    <w:p>
      <w:pPr>
        <w:spacing w:after="0" w:before="120"/>
      </w:pPr>
    </w:p>
    <w:p>
      <w:pPr>
        <w:pBdr>
          <w:top w:val="single" w:color="F05A00" w:sz="4" w:space="1"/>
        </w:pBdr>
        <w:spacing w:before="120"/>
      </w:pPr>
    </w:p>
    <w:p>
      <w:pPr>
        <w:spacing w:after="0" w:before="200"/>
      </w:pPr>
    </w:p>
    <w:p>
      <w:pPr>
        <w:spacing w:after="160" w:line="300"/>
      </w:pPr>
      <w:r>
        <w:rPr>
          <w:rFonts w:ascii="Helvetica" w:cs="Helvetica" w:eastAsia="Helvetica" w:hAnsi="Helvetica"/>
          <w:color w:val="381D2A"/>
          <w:sz w:val="21"/>
          <w:szCs w:val="21"/>
        </w:rPr>
        <w:t xml:space="preserve">A diagnostic tool for Australian small businesses to assess their current AI readiness across six critical dimensions. Use this scorecard to identify where you are, where the gaps are, and what to focus on next.</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8"/>
      </w:tblGrid>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Business Name: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Industry:</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Team Size: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Date:</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r>
        <w:tc>
          <w:tcPr>
            <w:tcW w:type="dxa" w:w="2707"/>
            <w:tcBorders>
              <w:top w:val="none"/>
              <w:left w:val="none"/>
              <w:bottom w:val="single" w:color="CCCCCC" w:sz="1"/>
              <w:right w:val="none"/>
            </w:tcBorders>
            <w:tcMar>
              <w:top w:type="dxa" w:w="80"/>
              <w:left w:type="dxa" w:w="0"/>
              <w:bottom w:type="dxa" w:w="80"/>
              <w:right w:type="dxa" w:w="80"/>
            </w:tcMar>
          </w:tcPr>
          <w:p>
            <w:r>
              <w:rPr>
                <w:rFonts w:ascii="Helvetica" w:cs="Helvetica" w:eastAsia="Helvetica" w:hAnsi="Helvetica"/>
                <w:b/>
                <w:bCs/>
                <w:color w:val="3E6990"/>
                <w:sz w:val="21"/>
                <w:szCs w:val="21"/>
              </w:rPr>
              <w:t xml:space="preserve">Assessed By:</w:t>
            </w:r>
          </w:p>
        </w:tc>
        <w:tc>
          <w:tcPr>
            <w:tcW w:type="dxa" w:w="6318"/>
            <w:tcBorders>
              <w:top w:val="none"/>
              <w:left w:val="none"/>
              <w:bottom w:val="single" w:color="CCCCCC" w:sz="1"/>
              <w:right w:val="none"/>
            </w:tcBorders>
            <w:tcMar>
              <w:top w:type="dxa" w:w="80"/>
              <w:left w:type="dxa" w:w="80"/>
              <w:bottom w:type="dxa" w:w="80"/>
              <w:right w:type="dxa" w:w="0"/>
            </w:tcMar>
          </w:tcPr>
          <w:p>
            <w:r>
              <w:rPr>
                <w:rFonts w:ascii="Helvetica" w:cs="Helvetica" w:eastAsia="Helvetica" w:hAnsi="Helvetica"/>
                <w:color w:val="381D2A"/>
                <w:sz w:val="21"/>
                <w:szCs w:val="21"/>
              </w:rPr>
              <w:t xml:space="preserve"/>
            </w:r>
          </w:p>
        </w:tc>
      </w:tr>
    </w:tbl>
    <w:p>
      <w:pPr>
        <w:spacing w:after="0" w:before="600"/>
      </w:pPr>
    </w:p>
    <w:p>
      <w:r>
        <w:rPr>
          <w:rFonts w:ascii="Helvetica" w:cs="Helvetica" w:eastAsia="Helvetica" w:hAnsi="Helvetica"/>
          <w:color w:val="3E6990"/>
          <w:sz w:val="22"/>
          <w:szCs w:val="22"/>
        </w:rPr>
        <w:t xml:space="preserve">Tech Horizon Labs</w:t>
      </w:r>
    </w:p>
    <w:p>
      <w:pPr>
        <w:spacing w:before="60"/>
      </w:pPr>
      <w:r>
        <w:rPr>
          <w:rFonts w:ascii="Helvetica" w:cs="Helvetica" w:eastAsia="Helvetica" w:hAnsi="Helvetica"/>
          <w:color w:val="3E6990"/>
          <w:sz w:val="20"/>
          <w:szCs w:val="20"/>
        </w:rPr>
        <w:t xml:space="preserve">techhorizonlabs.com  |  Discover → Architect → Activate</w:t>
      </w:r>
    </w:p>
    <w:p>
      <w:pPr>
        <w:sectPr>
          <w:pgSz w:w="11906" w:h="16838" w:orient="portrait"/>
          <w:pgMar w:top="1440" w:right="1440" w:bottom="1440" w:left="1440" w:header="708" w:footer="708" w:gutter="0"/>
          <w:pgNumType/>
          <w:docGrid w:linePitch="360"/>
        </w:sectPr>
      </w:pPr>
    </w:p>
    <w:p>
      <w:pPr>
        <w:pStyle w:val="Heading1"/>
        <w:spacing w:after="200" w:before="360"/>
      </w:pPr>
      <w:r>
        <w:rPr>
          <w:rFonts w:ascii="Helvetica" w:cs="Helvetica" w:eastAsia="Helvetica" w:hAnsi="Helvetica"/>
          <w:b/>
          <w:bCs/>
          <w:color w:val="381D2A"/>
          <w:sz w:val="36"/>
          <w:szCs w:val="36"/>
        </w:rPr>
        <w:t xml:space="preserve">AI Readiness Assessment</w:t>
      </w:r>
    </w:p>
    <w:p>
      <w:pPr>
        <w:spacing w:after="160" w:line="300"/>
      </w:pPr>
      <w:r>
        <w:rPr>
          <w:rFonts w:ascii="Helvetica" w:cs="Helvetica" w:eastAsia="Helvetica" w:hAnsi="Helvetica"/>
          <w:color w:val="381D2A"/>
          <w:sz w:val="21"/>
          <w:szCs w:val="21"/>
        </w:rPr>
        <w:t xml:space="preserve">Rate your business from 1 (not started) to 5 (fully embedded) on each dimension. Be honest — this is a diagnostic, not a test. Circle or mark your score for each row.</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159"/>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Assessment Area</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1</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2</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3</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4</w:t>
            </w:r>
          </w:p>
        </w:tc>
        <w:tc>
          <w:tcPr>
            <w:tcW w:type="dxa" w:w="586"/>
            <w:tcBorders>
              <w:top w:val="single" w:color="CCCCCC" w:sz="1"/>
              <w:left w:val="single" w:color="CCCCCC" w:sz="1"/>
              <w:bottom w:val="single" w:color="CCCCCC" w:sz="1"/>
              <w:right w:val="single" w:color="CCCCCC" w:sz="1"/>
            </w:tcBorders>
            <w:shd w:fill="381D2A" w:val="clear"/>
            <w:tcMar>
              <w:top w:type="dxa" w:w="60"/>
              <w:left w:type="dxa" w:w="40"/>
              <w:bottom w:type="dxa" w:w="60"/>
              <w:right w:type="dxa" w:w="40"/>
            </w:tcMar>
          </w:tcPr>
          <w:p>
            <w:pPr>
              <w:jc w:val="center"/>
            </w:pPr>
            <w:r>
              <w:rPr>
                <w:rFonts w:ascii="Helvetica" w:cs="Helvetica" w:eastAsia="Helvetica" w:hAnsi="Helvetica"/>
                <w:b/>
                <w:bCs/>
                <w:color w:val="FFFFFF"/>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A. Current AI Usage (How are you using AI today?)</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use AI tools (ChatGPT, Claude, etc.) regularly</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AI is used for business tasks, not just personal/experimental</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Multiple team members use AI, not just one person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defined which tasks AI handles vs humans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B. Data &amp; Knowledge Readiness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business processes are documented (SOPs, workflows)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brand voice, guidelines, and key docs are written down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Customer data is organised and accessible (CRM, database)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a central place for company knowledge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C. Tool Integration &amp; Automation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main tools (CRM, email, accounting) talk to each other</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automated at least one repetitive workflow</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connected AI to our actual business data/tools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can measure time saved from automation</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D. Team AI Capability &amp; Training Quality</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team understands basic AI prompting</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At least one person can build/maintain AI workflows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done formal AI training (not just self-taught)</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team trusts AI outputs enough to use them</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training covers multiple platforms (not just one tool)</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Our trainer/advisor actively builds with AI, not just teaches theory</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E. Strategy &amp; Governance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have a plan for how AI fits our business goals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Someone owns AI implementation (not just 'everyone')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considered data security/privacy for AI use</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review and improve our AI setup regularly</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chose our AI tools based on capability, not just what came bundled</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understand the difference between efficiency AI and opportunity AI</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9026"/>
            <w:gridSpan w:val="6"/>
            <w:tcBorders>
              <w:top w:val="single" w:color="CCCCCC" w:sz="1"/>
              <w:left w:val="single" w:color="CCCCCC" w:sz="1"/>
              <w:bottom w:val="single" w:color="CCCCCC" w:sz="1"/>
              <w:right w:val="single" w:color="CCCCCC" w:sz="1"/>
            </w:tcBorders>
            <w:shd w:fill="3E6990" w:val="clear"/>
            <w:tcMar>
              <w:top w:type="dxa" w:w="100"/>
              <w:left w:type="dxa" w:w="120"/>
              <w:bottom w:type="dxa" w:w="100"/>
              <w:right w:type="dxa" w:w="120"/>
            </w:tcMar>
          </w:tcPr>
          <w:p>
            <w:r>
              <w:rPr>
                <w:rFonts w:ascii="Helvetica" w:cs="Helvetica" w:eastAsia="Helvetica" w:hAnsi="Helvetica"/>
                <w:b/>
                <w:bCs/>
                <w:color w:val="FFFFFF"/>
                <w:sz w:val="22"/>
                <w:szCs w:val="22"/>
              </w:rPr>
              <w:t xml:space="preserve">F. Measurable Impact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 can point to specific time saved by AI</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AI has improved quality/consistency of outputs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We've seen revenue or cost impact from AI</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Helvetica" w:cs="Helvetica" w:eastAsia="Helvetica" w:hAnsi="Helvetica"/>
                <w:b/>
                <w:bCs/>
                <w:color w:val="381D2A"/>
                <w:sz w:val="19"/>
                <w:szCs w:val="19"/>
              </w:rPr>
              <w:t xml:space="preserve">Clients/customers have noticed improvements</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1</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2</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3</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4</w:t>
            </w:r>
          </w:p>
        </w:tc>
        <w:tc>
          <w:tcPr>
            <w:tcW w:type="dxa" w:w="586"/>
            <w:tcBorders>
              <w:top w:val="single" w:color="CCCCCC" w:sz="1"/>
              <w:left w:val="single" w:color="CCCCCC" w:sz="1"/>
              <w:bottom w:val="single" w:color="CCCCCC" w:sz="1"/>
              <w:right w:val="single" w:color="CCCCCC" w:sz="1"/>
            </w:tcBorders>
            <w:tcMar>
              <w:top w:type="dxa" w:w="60"/>
              <w:left w:type="dxa" w:w="40"/>
              <w:bottom w:type="dxa" w:w="60"/>
              <w:right w:type="dxa" w:w="40"/>
            </w:tcMar>
            <w:vAlign w:val="center"/>
          </w:tcPr>
          <w:p>
            <w:pPr>
              <w:jc w:val="center"/>
            </w:pPr>
            <w:r>
              <w:rPr>
                <w:rFonts w:ascii="Helvetica" w:cs="Helvetica" w:eastAsia="Helvetica" w:hAnsi="Helvetica"/>
                <w:color w:val="3E6990"/>
                <w:sz w:val="20"/>
                <w:szCs w:val="20"/>
              </w:rPr>
              <w:t xml:space="preserve">5</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6"/>
      </w:tblGrid>
      <w:tr>
        <w:tc>
          <w:tcPr>
            <w:tcW w:type="dxa" w:w="9026"/>
            <w:gridSpan w:val="3"/>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2"/>
                <w:szCs w:val="22"/>
              </w:rPr>
              <w:t xml:space="preserve">SCORING SUMMARY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A. Current AI Usage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B. Data &amp; Knowledge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C. Tool Integration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D. Team Capability &amp; Training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E. Strategy &amp; Governance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30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F. Measurable Impact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E6990"/>
                <w:sz w:val="20"/>
                <w:szCs w:val="20"/>
              </w:rPr>
              <w:t xml:space="preserve">    / 20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20"/>
                <w:szCs w:val="20"/>
              </w:rPr>
              <w:t xml:space="preserve"/>
            </w:r>
          </w:p>
        </w:tc>
      </w:tr>
      <w:tr>
        <w:tc>
          <w:tcPr>
            <w:tcW w:type="dxa" w:w="4513"/>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b/>
                <w:bCs/>
                <w:color w:val="381D2A"/>
                <w:sz w:val="22"/>
                <w:szCs w:val="22"/>
              </w:rPr>
              <w:t xml:space="preserve">TOTAL SCORE</w:t>
            </w:r>
          </w:p>
        </w:tc>
        <w:tc>
          <w:tcPr>
            <w:tcW w:type="dxa" w:w="2256"/>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b/>
                <w:bCs/>
                <w:color w:val="F05A00"/>
                <w:sz w:val="22"/>
                <w:szCs w:val="22"/>
              </w:rPr>
              <w:t xml:space="preserve">    / 140</w:t>
            </w:r>
          </w:p>
        </w:tc>
        <w:tc>
          <w:tcPr>
            <w:tcW w:type="dxa" w:w="2256"/>
            <w:tcBorders>
              <w:top w:val="single" w:color="CCCCCC" w:sz="1"/>
              <w:left w:val="single" w:color="CCCCCC" w:sz="1"/>
              <w:bottom w:val="single" w:color="CCCCCC" w:sz="1"/>
              <w:right w:val="single" w:color="CCCCCC" w:sz="1"/>
            </w:tcBorders>
            <w:shd w:fill="EBF2F7" w:val="clear"/>
            <w:tcMar>
              <w:top w:type="dxa" w:w="80"/>
              <w:left w:type="dxa" w:w="120"/>
              <w:bottom w:type="dxa" w:w="80"/>
              <w:right w:type="dxa" w:w="120"/>
            </w:tcMar>
          </w:tcPr>
          <w:p>
            <w:r>
              <w:rPr>
                <w:rFonts w:ascii="Helvetica" w:cs="Helvetica" w:eastAsia="Helvetica" w:hAnsi="Helvetica"/>
                <w:color w:val="381D2A"/>
                <w:sz w:val="22"/>
                <w:szCs w:val="22"/>
              </w:rPr>
              <w:t xml:space="preserve"/>
            </w:r>
          </w:p>
        </w:tc>
      </w:tr>
    </w:tbl>
    <w:p>
      <w:r>
        <w:br w:type="page"/>
      </w:r>
    </w:p>
    <w:p>
      <w:pPr>
        <w:pStyle w:val="Heading1"/>
        <w:spacing w:after="200" w:before="360"/>
      </w:pPr>
      <w:r>
        <w:rPr>
          <w:rFonts w:ascii="Helvetica" w:cs="Helvetica" w:eastAsia="Helvetica" w:hAnsi="Helvetica"/>
          <w:b/>
          <w:bCs/>
          <w:color w:val="381D2A"/>
          <w:sz w:val="36"/>
          <w:szCs w:val="36"/>
        </w:rPr>
        <w:t xml:space="preserve">Score Interpretation</w:t>
      </w:r>
    </w:p>
    <w:p>
      <w:pPr>
        <w:spacing w:after="160" w:line="300"/>
      </w:pPr>
      <w:r>
        <w:rPr>
          <w:rFonts w:ascii="Helvetica" w:cs="Helvetica" w:eastAsia="Helvetica" w:hAnsi="Helvetica"/>
          <w:color w:val="381D2A"/>
          <w:sz w:val="21"/>
          <w:szCs w:val="21"/>
        </w:rPr>
        <w:t xml:space="preserve">Your total score maps to the four stages of AI adoption identified in our research across 54 Australian SMBs, the Anthropic Economic Index, and Deloitte's 2025 survey of 1,000+ businesses. Each stage has a clear set of priorities.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353"/>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Score</w:t>
            </w:r>
          </w:p>
        </w:tc>
        <w:tc>
          <w:tcPr>
            <w:tcW w:type="dxa" w:w="1805"/>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Stage</w:t>
            </w:r>
          </w:p>
        </w:tc>
        <w:tc>
          <w:tcPr>
            <w:tcW w:type="dxa" w:w="5867"/>
            <w:tcBorders>
              <w:top w:val="single" w:color="CCCCCC" w:sz="1"/>
              <w:left w:val="single" w:color="CCCCCC" w:sz="1"/>
              <w:bottom w:val="single" w:color="CCCCCC" w:sz="1"/>
              <w:right w:val="single" w:color="CCCCCC" w:sz="1"/>
            </w:tcBorders>
            <w:shd w:fill="381D2A" w:val="clear"/>
            <w:tcMar>
              <w:top w:type="dxa" w:w="80"/>
              <w:left w:type="dxa" w:w="120"/>
              <w:bottom w:type="dxa" w:w="80"/>
              <w:right w:type="dxa" w:w="120"/>
            </w:tcMar>
          </w:tcPr>
          <w:p>
            <w:r>
              <w:rPr>
                <w:rFonts w:ascii="Helvetica" w:cs="Helvetica" w:eastAsia="Helvetica" w:hAnsi="Helvetica"/>
                <w:b/>
                <w:bCs/>
                <w:color w:val="FFFFFF"/>
                <w:sz w:val="20"/>
                <w:szCs w:val="20"/>
              </w:rPr>
              <w:t xml:space="preserve">What This Means</w:t>
            </w:r>
          </w:p>
        </w:tc>
      </w:tr>
      <w:tr>
        <w:tc>
          <w:tcPr>
            <w:tcW w:type="dxa" w:w="1353"/>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28–48</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1: Unaware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You haven't started with AI or only experimented casually. The capability overhang is widest here — frontier AI can do far more than you realise. Priority: awareness workshops and first-use sessions.</w:t>
            </w:r>
          </w:p>
        </w:tc>
      </w:tr>
      <w:tr>
        <w:tc>
          <w:tcPr>
            <w:tcW w:type="dxa" w:w="1353"/>
            <w:tcBorders>
              <w:top w:val="single" w:color="CCCCCC" w:sz="1"/>
              <w:left w:val="single" w:color="CCCCCC" w:sz="1"/>
              <w:bottom w:val="single" w:color="CCCCCC" w:sz="1"/>
              <w:right w:val="single" w:color="CCCCCC" w:sz="1"/>
            </w:tcBorders>
            <w:shd w:fill="F39B6D"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49–75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2: ChatGPT Plateau</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You're using AI for ad hoc tasks but it's not connected to your business systems. This is where ~50% of Australian SMBs sit. Beware single-tool lock-in (especially Copilot-only). Priority: pick ONE workflow, integrate AI properly, and explore multiple platforms.</w:t>
            </w:r>
          </w:p>
        </w:tc>
      </w:tr>
      <w:tr>
        <w:tc>
          <w:tcPr>
            <w:tcW w:type="dxa" w:w="1353"/>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76–105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3: Enabled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AI is embedded in some processes and your team has real capability. You're ahead of 83% of SMBs. The shift now is from 'efficiency AI' (saving time) to 'opportunity AI' (doing things you couldn't before). Priority: expand workflows, build governance, and deepen multi-platform literacy.</w:t>
            </w:r>
          </w:p>
        </w:tc>
      </w:tr>
      <w:tr>
        <w:tc>
          <w:tcPr>
            <w:tcW w:type="dxa" w:w="1353"/>
            <w:tcBorders>
              <w:top w:val="single" w:color="CCCCCC" w:sz="1"/>
              <w:left w:val="single" w:color="CCCCCC" w:sz="1"/>
              <w:bottom w:val="single" w:color="CCCCCC" w:sz="1"/>
              <w:right w:val="single" w:color="CCCCCC" w:sz="1"/>
            </w:tcBorders>
            <w:shd w:fill="F05A00"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106–140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b/>
                <w:bCs/>
                <w:color w:val="381D2A"/>
                <w:sz w:val="20"/>
                <w:szCs w:val="20"/>
              </w:rPr>
              <w:t xml:space="preserve">Stage 4: AI-Native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381D2A"/>
                <w:sz w:val="19"/>
                <w:szCs w:val="19"/>
              </w:rPr>
              <w:t xml:space="preserve">AI is core to how your business operates. You're in the top 5%. You likely use MCP integrations, skills/architecture patterns, or both. Priority: continuous frontier tracking, advanced automation, team upskilling, and competitive moat.</w:t>
            </w:r>
          </w:p>
        </w:tc>
      </w:tr>
    </w:tbl>
    <w:p>
      <w:pPr>
        <w:spacing w:after="0" w:before="200"/>
      </w:pPr>
    </w:p>
    <w:p>
      <w:pPr>
        <w:pStyle w:val="Heading2"/>
        <w:spacing w:after="160" w:before="280"/>
      </w:pPr>
      <w:r>
        <w:rPr>
          <w:rFonts w:ascii="Helvetica" w:cs="Helvetica" w:eastAsia="Helvetica" w:hAnsi="Helvetica"/>
          <w:b/>
          <w:bCs/>
          <w:color w:val="3E6990"/>
          <w:sz w:val="28"/>
          <w:szCs w:val="28"/>
        </w:rPr>
        <w:t xml:space="preserve">Reading Your Section Scores</w:t>
      </w:r>
    </w:p>
    <w:p>
      <w:pPr>
        <w:spacing w:after="160" w:line="300"/>
      </w:pPr>
      <w:r>
        <w:rPr>
          <w:rFonts w:ascii="Helvetica" w:cs="Helvetica" w:eastAsia="Helvetica" w:hAnsi="Helvetica"/>
          <w:color w:val="381D2A"/>
          <w:sz w:val="21"/>
          <w:szCs w:val="21"/>
        </w:rPr>
        <w:t xml:space="preserve">Your total score tells you where you sit overall, but the section breakdown shows where to focus. Look for your lowest-scoring section — that's your constraint.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59"/>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r>
              <w:rPr>
                <w:rFonts w:ascii="Helvetica" w:cs="Helvetica" w:eastAsia="Helvetica" w:hAnsi="Helvetica"/>
                <w:b/>
                <w:bCs/>
                <w:color w:val="FFFFFF"/>
                <w:sz w:val="20"/>
                <w:szCs w:val="20"/>
              </w:rPr>
              <w:t xml:space="preserve">If your lowest section is...</w:t>
            </w:r>
          </w:p>
        </w:tc>
        <w:tc>
          <w:tcPr>
            <w:tcW w:type="dxa" w:w="5867"/>
            <w:tcBorders>
              <w:top w:val="single" w:color="CCCCCC" w:sz="1"/>
              <w:left w:val="single" w:color="CCCCCC" w:sz="1"/>
              <w:bottom w:val="single" w:color="CCCCCC" w:sz="1"/>
              <w:right w:val="single" w:color="CCCCCC" w:sz="1"/>
            </w:tcBorders>
            <w:shd w:fill="3E6990" w:val="clear"/>
            <w:tcMar>
              <w:top w:type="dxa" w:w="80"/>
              <w:left w:type="dxa" w:w="120"/>
              <w:bottom w:type="dxa" w:w="80"/>
              <w:right w:type="dxa" w:w="120"/>
            </w:tcMar>
          </w:tcPr>
          <w:p>
            <w:r>
              <w:rPr>
                <w:rFonts w:ascii="Helvetica" w:cs="Helvetica" w:eastAsia="Helvetica" w:hAnsi="Helvetica"/>
                <w:b/>
                <w:bCs/>
                <w:color w:val="FFFFFF"/>
                <w:sz w:val="20"/>
                <w:szCs w:val="20"/>
              </w:rPr>
              <w:t xml:space="preserve">Your priority action</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A. Current AI Usage</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Start using AI for real business tasks daily. Pick one thing you do every day and try it with Claude or ChatGPT this week. Don't limit yourself to one platform.</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B. Data &amp; Knowledge</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Document your processes before adding AI. Write down your top 5 SOPs, brand voice, and client FAQ. This is the 'Brain Architecture' that makes AI useful in context.</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C. Tool Integration</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Connect your tools. Map which platforms you use and identify the manual handoffs between them. Explore MCP integrations and skills/architecture patterns — both paths matter.</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D. Team Capability</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Invest in quality training from someone who works across multiple platforms and builds real systems — not a business coach adding 'AI' or a single-tool specialist. (See Section 9 of the report.)</w:t>
            </w:r>
          </w:p>
        </w:tc>
      </w:tr>
      <w:tr>
        <w:tc>
          <w:tcPr>
            <w:tcW w:type="dxa" w:w="3159"/>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b/>
                <w:bCs/>
                <w:color w:val="381D2A"/>
                <w:sz w:val="20"/>
                <w:szCs w:val="20"/>
              </w:rPr>
              <w:t xml:space="preserve">E. Strategy &amp; Governance</w:t>
            </w:r>
          </w:p>
        </w:tc>
        <w:tc>
          <w:tcPr>
            <w:tcW w:type="dxa" w:w="5867"/>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Helvetica" w:cs="Helvetica" w:eastAsia="Helvetica" w:hAnsi="Helvetica"/>
                <w:color w:val="381D2A"/>
                <w:sz w:val="19"/>
                <w:szCs w:val="19"/>
              </w:rPr>
              <w:t xml:space="preserve">Assign an AI owner with a plan and timeline. Choose tools based on capability, not vendor bundling. Understand whether you're still in 'efficiency AI' or ready for 'opportunity AI.'</w:t>
            </w:r>
          </w:p>
        </w:tc>
      </w:tr>
      <w:tr>
        <w:tc>
          <w:tcPr>
            <w:tcW w:type="dxa" w:w="31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bCs/>
                <w:color w:val="381D2A"/>
                <w:sz w:val="20"/>
                <w:szCs w:val="20"/>
              </w:rPr>
              <w:t xml:space="preserve">F. Measurable Impact</w:t>
            </w:r>
          </w:p>
        </w:tc>
        <w:tc>
          <w:tcPr>
            <w:tcW w:type="dxa" w:w="58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color w:val="381D2A"/>
                <w:sz w:val="19"/>
                <w:szCs w:val="19"/>
              </w:rPr>
              <w:t xml:space="preserve">Start measuring. Track time before and after AI on your top 3 tasks. But also track new capabilities — what can you now do that you couldn't before? That's where the real ROI lives.</w:t>
            </w:r>
          </w:p>
        </w:tc>
      </w:tr>
    </w:tbl>
    <w:p>
      <w:r>
        <w:br w:type="page"/>
      </w:r>
    </w:p>
    <w:p>
      <w:pPr>
        <w:pStyle w:val="Heading1"/>
        <w:spacing w:after="200" w:before="360"/>
      </w:pPr>
      <w:r>
        <w:rPr>
          <w:rFonts w:ascii="Helvetica" w:cs="Helvetica" w:eastAsia="Helvetica" w:hAnsi="Helvetica"/>
          <w:b/>
          <w:bCs/>
          <w:color w:val="381D2A"/>
          <w:sz w:val="36"/>
          <w:szCs w:val="36"/>
        </w:rPr>
        <w:t xml:space="preserve">Your Next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BF2F7" w:val="clear"/>
            <w:tcMar>
              <w:top w:type="dxa" w:w="300"/>
              <w:left w:type="dxa" w:w="400"/>
              <w:bottom w:type="dxa" w:w="300"/>
              <w:right w:type="dxa" w:w="400"/>
            </w:tcMar>
          </w:tcPr>
          <w:p>
            <w:pPr>
              <w:spacing w:after="120"/>
            </w:pPr>
            <w:r>
              <w:rPr>
                <w:rFonts w:ascii="Helvetica" w:cs="Helvetica" w:eastAsia="Helvetica" w:hAnsi="Helvetica"/>
                <w:b/>
                <w:bCs/>
                <w:color w:val="381D2A"/>
                <w:sz w:val="26"/>
                <w:szCs w:val="26"/>
              </w:rPr>
              <w:t xml:space="preserve">Stage 1–2? Start here.</w:t>
            </w:r>
          </w:p>
          <w:p>
            <w:pPr>
              <w:spacing w:after="100" w:line="300"/>
            </w:pPr>
            <w:r>
              <w:rPr>
                <w:rFonts w:ascii="Helvetica" w:cs="Helvetica" w:eastAsia="Helvetica" w:hAnsi="Helvetica"/>
                <w:color w:val="381D2A"/>
                <w:sz w:val="21"/>
                <w:szCs w:val="21"/>
              </w:rPr>
              <w:t xml:space="preserve">Book a free 30-minute Discovery Call. We'll review your scorecard together, identify the highest-impact opportunity, and give you a clear next step — whether that's working with us or not.</w:t>
            </w:r>
          </w:p>
          <w:p>
            <w:pPr>
              <w:spacing w:after="200"/>
            </w:pPr>
            <w:r>
              <w:rPr>
                <w:rFonts w:ascii="Helvetica" w:cs="Helvetica" w:eastAsia="Helvetica" w:hAnsi="Helvetica"/>
                <w:b/>
                <w:bCs/>
                <w:color w:val="F05A00"/>
                <w:sz w:val="22"/>
                <w:szCs w:val="22"/>
              </w:rPr>
              <w:t xml:space="preserve">techhorizonlabs.com/discovery</w:t>
            </w:r>
          </w:p>
          <w:p>
            <w:pPr>
              <w:spacing w:after="120"/>
            </w:pPr>
            <w:r>
              <w:rPr>
                <w:rFonts w:ascii="Helvetica" w:cs="Helvetica" w:eastAsia="Helvetica" w:hAnsi="Helvetica"/>
                <w:b/>
                <w:bCs/>
                <w:color w:val="381D2A"/>
                <w:sz w:val="26"/>
                <w:szCs w:val="26"/>
              </w:rPr>
              <w:t xml:space="preserve">Stage 3? Accelerate.</w:t>
            </w:r>
          </w:p>
          <w:p>
            <w:pPr>
              <w:spacing w:after="100" w:line="300"/>
            </w:pPr>
            <w:r>
              <w:rPr>
                <w:rFonts w:ascii="Helvetica" w:cs="Helvetica" w:eastAsia="Helvetica" w:hAnsi="Helvetica"/>
                <w:color w:val="381D2A"/>
                <w:sz w:val="21"/>
                <w:szCs w:val="21"/>
              </w:rPr>
              <w:t xml:space="preserve">You're ahead of 83% of Australian SMBs. Our Pro tier ($300/mo) gives you monthly strategy calls, custom automation builds, and unlimited workshops to scale what's working.</w:t>
            </w:r>
          </w:p>
          <w:p>
            <w:pPr>
              <w:spacing w:after="200"/>
            </w:pPr>
            <w:r>
              <w:rPr>
                <w:rFonts w:ascii="Helvetica" w:cs="Helvetica" w:eastAsia="Helvetica" w:hAnsi="Helvetica"/>
                <w:b/>
                <w:bCs/>
                <w:color w:val="F05A00"/>
                <w:sz w:val="22"/>
                <w:szCs w:val="22"/>
              </w:rPr>
              <w:t xml:space="preserve">techhorizon.academy</w:t>
            </w:r>
          </w:p>
          <w:p>
            <w:pPr>
              <w:spacing w:after="120"/>
            </w:pPr>
            <w:r>
              <w:rPr>
                <w:rFonts w:ascii="Helvetica" w:cs="Helvetica" w:eastAsia="Helvetica" w:hAnsi="Helvetica"/>
                <w:b/>
                <w:bCs/>
                <w:color w:val="381D2A"/>
                <w:sz w:val="26"/>
                <w:szCs w:val="26"/>
              </w:rPr>
              <w:t xml:space="preserve">Stage 4? Partner.</w:t>
            </w:r>
          </w:p>
          <w:p>
            <w:pPr>
              <w:spacing w:after="100" w:line="300"/>
            </w:pPr>
            <w:r>
              <w:rPr>
                <w:rFonts w:ascii="Helvetica" w:cs="Helvetica" w:eastAsia="Helvetica" w:hAnsi="Helvetica"/>
                <w:color w:val="381D2A"/>
                <w:sz w:val="21"/>
                <w:szCs w:val="21"/>
              </w:rPr>
              <w:t xml:space="preserve">You need a strategic partner, not a course. Our Partner tier ($1,000/mo) includes weekly strategy sessions, a dedicated AI roadmap, 5 team seats, and custom automation builds.</w:t>
            </w:r>
          </w:p>
          <w:p>
            <w:pPr>
              <w:spacing w:after="40"/>
            </w:pPr>
            <w:r>
              <w:rPr>
                <w:rFonts w:ascii="Helvetica" w:cs="Helvetica" w:eastAsia="Helvetica" w:hAnsi="Helvetica"/>
                <w:b/>
                <w:bCs/>
                <w:color w:val="F05A00"/>
                <w:sz w:val="22"/>
                <w:szCs w:val="22"/>
              </w:rPr>
              <w:t xml:space="preserve">Email huxley@thzn.world to apply.</w:t>
            </w:r>
          </w:p>
        </w:tc>
      </w:tr>
    </w:tbl>
    <w:p>
      <w:pPr>
        <w:spacing w:after="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tcMar>
              <w:top w:type="dxa" w:w="200"/>
              <w:left w:type="dxa" w:w="300"/>
              <w:bottom w:type="dxa" w:w="200"/>
              <w:right w:type="dxa" w:w="300"/>
            </w:tcMar>
          </w:tcPr>
          <w:p>
            <w:pPr>
              <w:spacing w:after="80"/>
            </w:pPr>
            <w:r>
              <w:rPr>
                <w:rFonts w:ascii="Helvetica" w:cs="Helvetica" w:eastAsia="Helvetica" w:hAnsi="Helvetica"/>
                <w:b/>
                <w:bCs/>
                <w:color w:val="381D2A"/>
                <w:sz w:val="24"/>
                <w:szCs w:val="24"/>
              </w:rPr>
              <w:t xml:space="preserve">About This Scorecard</w:t>
            </w:r>
          </w:p>
          <w:p>
            <w:pPr>
              <w:spacing w:after="80" w:line="300"/>
            </w:pPr>
            <w:r>
              <w:rPr>
                <w:rFonts w:ascii="Helvetica" w:cs="Helvetica" w:eastAsia="Helvetica" w:hAnsi="Helvetica"/>
                <w:color w:val="381D2A"/>
                <w:sz w:val="19"/>
                <w:szCs w:val="19"/>
              </w:rPr>
              <w:t xml:space="preserve">This scorecard was developed by Tech Horizon Labs using data from 54 Australian SMBs, the Anthropic Economic Index (March 2026), the GDPval benchmark, Deloitte Access Economics (2025), and enterprise AI deployment analysis. The dimensions reflect patterns observed across 20+ engagements — including the training quality gap, capability overhang, and the shift from efficiency AI to opportunity AI.</w:t>
            </w:r>
          </w:p>
          <w:p>
            <w:pPr>
              <w:spacing w:after="40" w:line="300"/>
            </w:pPr>
            <w:r>
              <w:rPr>
                <w:rFonts w:ascii="Helvetica" w:cs="Helvetica" w:eastAsia="Helvetica" w:hAnsi="Helvetica"/>
                <w:i/>
                <w:iCs/>
                <w:color w:val="3E6990"/>
                <w:sz w:val="19"/>
                <w:szCs w:val="19"/>
              </w:rPr>
              <w:t xml:space="preserve">For the full research behind this framework, download the State of AI Readiness: Australian Small Business, 2026 report at techhorizonlabs.com/readiness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3E6990"/>
        <w:sz w:val="16"/>
        <w:szCs w:val="16"/>
      </w:rPr>
      <w:t xml:space="preserve">techhorizonlabs.com  |  Page </w:t>
    </w:r>
    <w:r>
      <w:rPr>
        <w:rFonts w:ascii="Helvetica" w:cs="Helvetica" w:eastAsia="Helvetica" w:hAnsi="Helvetica"/>
        <w:color w:val="3E69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i/>
        <w:iCs/>
        <w:color w:val="3E6990"/>
        <w:sz w:val="16"/>
        <w:szCs w:val="16"/>
      </w:rPr>
      <w:t xml:space="preserve">AI Readiness Scorecard  |  Tech Horizon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2026-04-04T06:35:12.655Z</dcterms:created>
  <dcterms:modified xsi:type="dcterms:W3CDTF">2026-04-04T06:35:12.655Z</dcterms:modified>
</cp:coreProperties>
</file>

<file path=docProps/custom.xml><?xml version="1.0" encoding="utf-8"?>
<Properties xmlns="http://schemas.openxmlformats.org/officeDocument/2006/custom-properties" xmlns:vt="http://schemas.openxmlformats.org/officeDocument/2006/docPropsVTypes"/>
</file>