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r>
        <w:rPr>
          <w:rFonts w:ascii="Helvetica" w:cs="Helvetica" w:eastAsia="Helvetica" w:hAnsi="Helvetica"/>
          <w:b/>
          <w:bCs/>
          <w:color w:val="F05A00"/>
          <w:sz w:val="52"/>
          <w:szCs w:val="52"/>
        </w:rPr>
        <w:t xml:space="preserve">GROWTH PLAYBOOK</w:t>
      </w:r>
    </w:p>
    <w:p>
      <w:pPr>
        <w:spacing w:before="80"/>
      </w:pPr>
      <w:r>
        <w:rPr>
          <w:rFonts w:ascii="Helvetica" w:cs="Helvetica" w:eastAsia="Helvetica" w:hAnsi="Helvetica"/>
          <w:color w:val="381D2A"/>
          <w:sz w:val="36"/>
          <w:szCs w:val="36"/>
        </w:rPr>
        <w:t xml:space="preserve">$10K → $20K Monthly Revenue</w:t>
      </w:r>
    </w:p>
    <w:p>
      <w:pPr>
        <w:spacing w:after="0" w:before="120"/>
      </w:pPr>
    </w:p>
    <w:p>
      <w:pPr>
        <w:pBdr>
          <w:top w:val="single" w:color="F05A00" w:sz="4" w:space="1"/>
        </w:pBdr>
        <w:spacing w:before="120"/>
      </w:pPr>
    </w:p>
    <w:p>
      <w:pPr>
        <w:spacing w:after="0" w:before="200"/>
      </w:pP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Internal strategy document. 90-day execution plan to double Tech Horizon Labs from $10K/month ($5K MRR + $5K projects) to $20K/month sustainable revenue. Based on current client data, pipeline analysis, market positioning, and channel performance.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39B6D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CONFIDENTIAL — Internal Use Only</w:t>
            </w:r>
          </w:p>
        </w:tc>
      </w:tr>
    </w:tbl>
    <w:p>
      <w:pPr>
        <w:spacing w:after="0" w:before="600"/>
      </w:pPr>
    </w:p>
    <w:p>
      <w:r>
        <w:rPr>
          <w:rFonts w:ascii="Helvetica" w:cs="Helvetica" w:eastAsia="Helvetica" w:hAnsi="Helvetica"/>
          <w:color w:val="3E6990"/>
          <w:sz w:val="22"/>
          <w:szCs w:val="22"/>
        </w:rPr>
        <w:t xml:space="preserve">April 2026</w:t>
      </w:r>
    </w:p>
    <w:p>
      <w:pPr>
        <w:spacing w:before="60"/>
      </w:pPr>
      <w:r>
        <w:rPr>
          <w:rFonts w:ascii="Helvetica" w:cs="Helvetica" w:eastAsia="Helvetica" w:hAnsi="Helvetica"/>
          <w:color w:val="381D2A"/>
          <w:sz w:val="20"/>
          <w:szCs w:val="20"/>
        </w:rPr>
        <w:t xml:space="preserve">Prepared for: Huxley Peckham, Founder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Helvetica" w:cs="Helvetica" w:eastAsia="Helvetica" w:hAnsi="Helvetica"/>
          <w:b/>
          <w:bCs/>
          <w:color w:val="381D2A"/>
          <w:sz w:val="36"/>
          <w:szCs w:val="36"/>
        </w:rPr>
        <w:t xml:space="preserve">1. Current State: $10K/Month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Revenue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Annual (proj.)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MRR — Client Retainers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$60,000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Project Revenue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$60,000 (variable)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Academy Subscriptions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~$0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—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TOTAL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$10,000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$120,000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Active Client Portfolio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Monthly Value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Boss Management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Retainer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~$1,000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AI integration, workflows, ongoing advisory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Edwards Essences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Retainer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~$785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AI implementation, e-commerce ops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MLM (talent agency)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Retainer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~$1,000+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Claude implementation, compliance, screening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Liam / BOQ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Project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Variable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Banking AI workflows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DF Solutions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Project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Variable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POS/tech consulting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KPP Qld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Project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Variable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Surveying workflows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Flight School Noosa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Project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Variable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Operations AI</w:t>
            </w:r>
          </w:p>
        </w:tc>
      </w:tr>
    </w:tbl>
    <w:p>
      <w:pPr>
        <w:spacing w:after="0" w:before="100"/>
      </w:pPr>
    </w:p>
    <w:p>
      <w:pPr>
        <w:spacing w:after="120" w:before="200"/>
      </w:pPr>
      <w:r>
        <w:rPr>
          <w:rFonts w:ascii="Helvetica" w:cs="Helvetica" w:eastAsia="Helvetica" w:hAnsi="Helvetica"/>
          <w:b/>
          <w:bCs/>
          <w:color w:val="381D2A"/>
          <w:sz w:val="24"/>
          <w:szCs w:val="24"/>
        </w:rPr>
        <w:t xml:space="preserve">Concentration Risk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Boss Management + Edwards Essences represent roughly 35-40% of current MRR. Losing either would drop MRR below $4K. This is the single biggest structural risk — we need to diversify the retainer base urgently.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BF2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F05A00"/>
                <w:sz w:val="40"/>
                <w:szCs w:val="40"/>
              </w:rPr>
              <w:t xml:space="preserve">35-40%</w:t>
            </w:r>
          </w:p>
          <w:p>
            <w:r>
              <w:rPr>
                <w:rFonts w:ascii="Helvetica" w:cs="Helvetica" w:eastAsia="Helvetica" w:hAnsi="Helvetica"/>
                <w:color w:val="381D2A"/>
                <w:sz w:val="21"/>
                <w:szCs w:val="21"/>
              </w:rPr>
              <w:t xml:space="preserve">of MRR concentrated in two clients. Target: no single client &gt;20% of revenue by Q3 2026.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Helvetica" w:cs="Helvetica" w:eastAsia="Helvetica" w:hAnsi="Helvetica"/>
          <w:b/>
          <w:bCs/>
          <w:color w:val="381D2A"/>
          <w:sz w:val="36"/>
          <w:szCs w:val="36"/>
        </w:rPr>
        <w:t xml:space="preserve">2. Pipeline Analysis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Warm Pipeline (Active Conversations)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Prospect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Est. Value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Stonewell Insurance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Insurance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$1,000/mo (Partner)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Discovery done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Proposal follow-up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Noosa Bluewater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Tourism/Marine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$300-1,000/mo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Proposal sent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2-week follow-up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Anna / Noosa Watersports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Tourism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$300-500/mo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Proposal sent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Chase follow-up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UniSC / Collider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Education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Workshop $2-5K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Proposal under review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Await decision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First Point Wealth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$500-1,000/mo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Early discovery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Book discovery call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Omni Executive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$500-1,000/mo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Early discovery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Book discovery call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Kate Kenna / Murray &amp; Associates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$300-500/mo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Referral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Intro call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Niki Bowen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Business services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$300-500/mo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Referral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Intro call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Step Change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Marketing/Consulting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$500-1,000/mo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Networking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Follow up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Boost Program Pipeline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 Noosa Council Business Boost program is generating consistent warm leads. Current stats: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Sven Rees / Exercise Matters: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Accepted into Boost. Sent Loom video of tasks to automate. Clinic visit scheduled. High-intent — exercise physiology practice drowning in admin.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Josh Overell / RECOR Engineering: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Boost session completed. AI Implementation Roadmap sent. Follow-up for ongoing engagement.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David Gibbons / BMN: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Mentee referral. AI consultation completed. Potential for ongoing advisory.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Channel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Leads (12mo)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Avg Value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Tally Forms / Workshops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3-5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7-9%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$500-1,000/mo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Business Boost Program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2-3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20-30%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$500-1,500 project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Referrals / Network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3-4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20-25%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$500-1,000/mo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Direct Outreach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1-2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5-10%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0" w:before="80"/>
      </w:pP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Clear signal: Boost and referrals convert at 3-5x the rate of cold/workshop leads. The highest-ROI growth move is increasing volume through these channels, not building more top-of-funnel.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Helvetica" w:cs="Helvetica" w:eastAsia="Helvetica" w:hAnsi="Helvetica"/>
          <w:b/>
          <w:bCs/>
          <w:color w:val="381D2A"/>
          <w:sz w:val="36"/>
          <w:szCs w:val="36"/>
        </w:rPr>
        <w:t xml:space="preserve">3. The $20K/Month Model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There are three realistic paths to $20K. The right answer is a blend of all three, weighted toward retainer growth because it compounds.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Path A: Retainer Growth (Target: $12K MRR)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Go from 3-4 retainer clients to 8-10. Average retainer: $1,000-1,500/mo.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New MRR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Convert Stonewell to Partner ($1K/mo)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+$1,000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April–May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Medium (warm)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Convert Noosa Bluewater to Base ($300/mo)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+$300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April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Low (proposal sent)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Convert Exercise Matters to retainer post-Boost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+$500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May–June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Convert RECOR Engineering post-roadmap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+$500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May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Close First Point Wealth or Omni Executive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+$750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May–June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Close 1 referral (Kate Kenna or Niki Bowen)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+$500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May–June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Academy Base tier launch (5 subscribers)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+$485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June–July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High (product)</w:t>
            </w:r>
          </w:p>
        </w:tc>
      </w:tr>
    </w:tbl>
    <w:p>
      <w:pPr>
        <w:spacing w:after="0" w:before="80"/>
      </w:pPr>
    </w:p>
    <w:p>
      <w:pPr>
        <w:spacing w:after="16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Realistic MRR by July 2026: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$5,000 (current) + $3,500–$4,000 (new retainers) + ~$500 (Academy) = </w:t>
      </w:r>
      <w:r>
        <w:rPr>
          <w:rFonts w:ascii="Helvetica" w:cs="Helvetica" w:eastAsia="Helvetica" w:hAnsi="Helvetica"/>
          <w:b/>
          <w:bCs/>
          <w:color w:val="F05A00"/>
          <w:sz w:val="21"/>
          <w:szCs w:val="21"/>
        </w:rPr>
        <w:t xml:space="preserve">$9,000–$9,500 MRR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Path B: Project Revenue (Target: $6-8K/Month)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Maintain project revenue but shift toward higher-value, shorter engagements: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Workshops: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UniSC/Collider workshop ($2-5K if approved). Book 1-2 more corporate workshops per month at $1,500-3,000 each.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Implementation sprints: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2-week intensive AI implementation packages at $2,500-3,500. Better margin than ongoing retainers for one-off needs.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Boost pipeline: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Each Boost engagement is a $500-1,500 project that feeds the retainer funnel.</w:t>
      </w:r>
    </w:p>
    <w:p>
      <w:pPr>
        <w:spacing w:after="16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Realistic project revenue by July: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$6,000–$8,000/month</w:t>
      </w:r>
      <w:r>
        <w:rPr>
          <w:rFonts w:ascii="Helvetica" w:cs="Helvetica" w:eastAsia="Helvetica" w:hAnsi="Helvetica"/>
          <w:color w:val="3E6990"/>
          <w:sz w:val="21"/>
          <w:szCs w:val="21"/>
        </w:rPr>
        <w:t xml:space="preserve"> (up from $5,000 with more workshop/sprint volume).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Path C: Academy Revenue (Target: $2-4K/Month by Q4)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 Academy is the long game but it needs to start generating revenue now. Even modest numbers compound: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Subscribers Needed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Community (Free)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500+ (lead gen)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Base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$97/mo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20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$1,940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$300/mo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Partner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$1,000/mo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1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$1,000</w:t>
            </w:r>
          </w:p>
        </w:tc>
      </w:tr>
    </w:tbl>
    <w:p>
      <w:pPr>
        <w:spacing w:after="0" w:before="80"/>
      </w:pP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With 20 Base + 5 Pro + 1 Partner = $4,440/mo MRR from Academy alone. That's the target for end of Q4 2026. Start with 5-10 Base subscribers from existing Tally leads by June.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BF2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F05A00"/>
                <w:sz w:val="40"/>
                <w:szCs w:val="40"/>
              </w:rPr>
              <w:t xml:space="preserve">$20K/mo = $9.5K MRR + $7K Projects + $3.5K Academy</w:t>
            </w:r>
          </w:p>
          <w:p>
            <w:r>
              <w:rPr>
                <w:rFonts w:ascii="Helvetica" w:cs="Helvetica" w:eastAsia="Helvetica" w:hAnsi="Helvetica"/>
                <w:color w:val="381D2A"/>
                <w:sz w:val="21"/>
                <w:szCs w:val="21"/>
              </w:rPr>
              <w:t xml:space="preserve">Blended model. Not dependent on any single channel. Achievable within 90 days for MRR/projects; Academy ramps through Q3-Q4.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Helvetica" w:cs="Helvetica" w:eastAsia="Helvetica" w:hAnsi="Helvetica"/>
          <w:b/>
          <w:bCs/>
          <w:color w:val="381D2A"/>
          <w:sz w:val="36"/>
          <w:szCs w:val="36"/>
        </w:rPr>
        <w:t xml:space="preserve">4. 90-Day Execution Calendar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Month 1: April 2026 — Close &amp; Convert</w:t>
      </w:r>
    </w:p>
    <w:p>
      <w:pPr>
        <w:spacing w:after="120" w:before="200"/>
      </w:pPr>
      <w:r>
        <w:rPr>
          <w:rFonts w:ascii="Helvetica" w:cs="Helvetica" w:eastAsia="Helvetica" w:hAnsi="Helvetica"/>
          <w:b/>
          <w:bCs/>
          <w:color w:val="381D2A"/>
          <w:sz w:val="24"/>
          <w:szCs w:val="24"/>
        </w:rPr>
        <w:t xml:space="preserve">Revenue Target: $12K ($5K MRR + $7K projects)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Close Stonewell Insurance.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Follow up on Partner tier proposal ($1K/mo). They've done discovery; they described their systems as 'prehistoric.' Push for decision by April 15.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Chase Noosa Bluewater + Noosa Watersports.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Both have proposals. 2-week chase cycle. At least one should close.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Publish State of AI Readiness report.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Gate behind email. Use as lead magnet on website, LinkedIn, and in all client conversations. This is the authority play.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Use Scorecard in every discovery call.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Walk prospects through the assessment. It positions us as the diagnostic authority and creates a natural bridge to the proposal.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Visit Sven / Exercise Matters clinic.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He's sent the Loom. Clinic visit is booked. Convert to paid Boost engagement, then retainer.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Month 2: May 2026 — Scale &amp; Systematise</w:t>
      </w:r>
    </w:p>
    <w:p>
      <w:pPr>
        <w:spacing w:after="120" w:before="200"/>
      </w:pPr>
      <w:r>
        <w:rPr>
          <w:rFonts w:ascii="Helvetica" w:cs="Helvetica" w:eastAsia="Helvetica" w:hAnsi="Helvetica"/>
          <w:b/>
          <w:bCs/>
          <w:color w:val="381D2A"/>
          <w:sz w:val="24"/>
          <w:szCs w:val="24"/>
        </w:rPr>
        <w:t xml:space="preserve">Revenue Target: $15K ($7K MRR + $8K projects)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Convert 2 Boost clients to retainer.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Exercise Matters + RECOR Engineering are the strongest candidates. Target $500-750/mo each.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Book 2 workshops.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Leverage the AI Readiness report as workshop content. Target: 1 corporate ($2-3K) + 1 community ($1-1.5K).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Launch Academy Base tier.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Email the 54 Tally respondents + all workshop attendees. Offer early adopter pricing ($97/mo, was $194). Target: 5 subscribers.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Build referral engine.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Ask Boss Management, Edwards, and MLM for introductions. Referrals convert at 20-25% vs 7-9% for cold. One ask per existing client.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Month 3: June 2026 — Compound</w:t>
      </w:r>
    </w:p>
    <w:p>
      <w:pPr>
        <w:spacing w:after="120" w:before="200"/>
      </w:pPr>
      <w:r>
        <w:rPr>
          <w:rFonts w:ascii="Helvetica" w:cs="Helvetica" w:eastAsia="Helvetica" w:hAnsi="Helvetica"/>
          <w:b/>
          <w:bCs/>
          <w:color w:val="381D2A"/>
          <w:sz w:val="24"/>
          <w:szCs w:val="24"/>
        </w:rPr>
        <w:t xml:space="preserve">Revenue Target: $18-20K ($9.5K MRR + $7K projects + $1.5K Academy)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Close First Point Wealth or Omni Executive.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Both are early-stage but high-value ($750-1,000/mo potential). Push through discovery → proposal → close.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Scale workshops to monthly cadence.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2 workshops/month: 1 free (lead gen for Academy/retainer) + 1 paid corporate. Use the Readiness Report as collateral.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LinkedIn content cadence.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3x/week posts using data from the AI Readiness report. Position as the authority on SMB AI adoption in Australia. Comment-to-DM strategy for Academy sign-ups.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Academy Pro tier launch.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Upsell 2-3 Base subscribers to Pro ($300/mo). Add Pro-only features: monthly 1-on-1, custom automation builds.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Helvetica" w:cs="Helvetica" w:eastAsia="Helvetica" w:hAnsi="Helvetica"/>
          <w:b/>
          <w:bCs/>
          <w:color w:val="381D2A"/>
          <w:sz w:val="36"/>
          <w:szCs w:val="36"/>
        </w:rPr>
        <w:t xml:space="preserve">5. Strategic Leverage Points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The AI Readiness Report as a Sales Weapon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 State of AI Readiness report isn't just thought leadership — it's a pipeline tool. The v6 report now covers 11 sections including the training gap, capability overhang, and two paths to agent-ready business. Here's how to deploy it: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Website gate: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Require email to download. Every download is a lead. Follow up within 48 hours with the Scorecard offer.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Discovery call opener: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'I'll send you our research on where Australian SMBs sit with AI — and a diagnostic tool to see where you compare.' This positions every call as educational, not salesy.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LinkedIn content fuel: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Each section = 3-5 posts. High-impact data: 65% manual tasks, 5% fully enabled, 4.1x over-index, $44B GDP opportunity, 7x capability overhang, ACCC suing Microsoft over Copilot, 2.7M Australians affected.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The Copilot conversation starter: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 ACCC lawsuit is headline news. 'Did you know the ACCC is suing Microsoft for forcing 2.7M Australians onto Copilot?' opens every conversation about vendor lock-in and tool choice. Lead to: 'We help you choose the right tool for the job, not the one your vendor bundles.'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Workshop content: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 report structure IS a workshop outline. The new Section 9 (Training Gap) is particularly powerful — it validates the problem every attendee has experienced.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Partner pitch: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Send to UniSC, Noosa Council, ACS, industry bodies. The training gap data positions you as the researcher, not just a trainer.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The 'Frontier Orchestrator' Positioning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 Training Gap section (Section 9) defines three archetypes: Business Coach, Single-Tool Specialist, and Frontier Orchestrator. You are the third. Use this framing in every pitch: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What it means: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You work across multiple AI platforms (Claude, ChatGPT, Gemini, Agent Opus), build real applications with them (PaddockMap, client automations), and translate frontier capabilities into business language.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How to deploy it: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When a prospect says 'we've been using ChatGPT' or 'we have Copilot', respond with: 'Great start — but each platform has different strengths. We help you orchestrate the right tool for each task.' This is differentiation no single-tool trainer can match.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Capability overhang pitch: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'There's a 7x productivity gap between AI power users and laggards. The technology isn't the bottleneck — it's skills, integration, and knowing which tool to use when. That's what we close.'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Efficiency → Opportunity reframe: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When prospects talk about 'saving time', upgrade the conversation: 'Saving time was last year's ROI. The question now is: what can you do that you couldn't before? New services, new revenue, new market positions. That's where we focus.'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Boost Program: The Highest-ROI Channel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The Noosa Council Business Boost program converts at 20-30% vs 7-9% for workshops. Why? Because it's pre-qualified (council vouches), face-to-face, and outcome-focused. Strategy: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Maximise Boost volume.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Apply for additional council programs. Sunshine Coast, Moreton Bay, Gold Coast all run similar initiatives.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Boost → Retainer pipeline.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Every Boost engagement should end with a clear retainer proposal. The 2-week Boost sprint demonstrates value; the retainer captures it.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Document Boost wins.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Each successful engagement becomes a case study and referral source.</w:t>
      </w: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The Academy: Build It While Selling</w:t>
      </w:r>
    </w:p>
    <w:p>
      <w:pPr>
        <w:spacing w:after="160" w:line="300"/>
      </w:pP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Don't wait for the Academy to be 'ready.' Launch with what you have. The training gap data from the report is your strongest Academy pitch — people know their current training is failing them.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Free tier is live: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1,190+ prompts, 214+ tools, HuxleyGPT. This IS the product for lead gen.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Base tier MVP: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Prompt Studio Guided Mode + weekly Drop-in Sessions + Slack community. Charge $97/mo. Position as: 'Multi-platform AI training from someone who actually builds with these tools weekly — not a course recorded 6 months ago.'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Pro tier from retainer learnings: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Everything you build for retainer clients (automations, workflows, templates) feeds the Pro library. The PaddockMap case study is powerful proof: built in a weekend with Claude Code + Replit while the government spends $3.5M on consultancy.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Helvetica" w:cs="Helvetica" w:eastAsia="Helvetica" w:hAnsi="Helvetica"/>
          <w:b/>
          <w:bCs/>
          <w:color w:val="381D2A"/>
          <w:sz w:val="21"/>
          <w:szCs w:val="21"/>
        </w:rPr>
        <w:t xml:space="preserve">Content differentiator: </w:t>
      </w:r>
      <w:r>
        <w:rPr>
          <w:rFonts w:ascii="Helvetica" w:cs="Helvetica" w:eastAsia="Helvetica" w:hAnsi="Helvetica"/>
          <w:color w:val="381D2A"/>
          <w:sz w:val="21"/>
          <w:szCs w:val="21"/>
        </w:rPr>
        <w:t xml:space="preserve">Your workshops cover Claude, ChatGPT, Gemini, Agent Opus, MCP, and skills/architecture patterns. No competitor covers this breadth from practical experience. Participant feedback confirms this: 'you're not just showing one avenue — you're combining them all.'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Helvetica" w:cs="Helvetica" w:eastAsia="Helvetica" w:hAnsi="Helvetica"/>
          <w:b/>
          <w:bCs/>
          <w:color w:val="381D2A"/>
          <w:sz w:val="36"/>
          <w:szCs w:val="36"/>
        </w:rPr>
        <w:t xml:space="preserve">6. Key Metrics to Track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69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$10,000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$12,000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$20,000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MRR (Retainers)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$6,000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$9,500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Active Retainer Clients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3-4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Project Revenue/Month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$5,000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$6,000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$7,000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Academy Subscribers (Paid)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10-15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Pipeline Value (Warm)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~$15K/mo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$20K/mo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$30K/mo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Discovery Calls/Month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6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Proposals Sent/Month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Close Rate (Proposals)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50%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Tally Form Leads/Month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10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Referrals Asked For/Month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LinkedIn Posts/Week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~1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381D2A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Helvetica" w:cs="Helvetica" w:eastAsia="Helvetica" w:hAnsi="Helvetica"/>
          <w:b/>
          <w:bCs/>
          <w:color w:val="3E6990"/>
          <w:sz w:val="28"/>
          <w:szCs w:val="28"/>
        </w:rPr>
        <w:t xml:space="preserve">Revenue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BF2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Helvetica" w:cs="Helvetica" w:eastAsia="Helvetica" w:hAnsi="Helvetica"/>
                <w:b/>
                <w:bCs/>
                <w:color w:val="381D2A"/>
                <w:sz w:val="22"/>
                <w:szCs w:val="22"/>
              </w:rPr>
              <w:t xml:space="preserve">April 30: </w:t>
            </w:r>
            <w:r>
              <w:rPr>
                <w:rFonts w:ascii="Helvetica" w:cs="Helvetica" w:eastAsia="Helvetica" w:hAnsi="Helvetica"/>
                <w:color w:val="381D2A"/>
                <w:sz w:val="21"/>
                <w:szCs w:val="21"/>
              </w:rPr>
              <w:t xml:space="preserve">$12K revenue. Stonewell closed. Report published. Scorecard in use.</w:t>
            </w:r>
          </w:p>
          <w:p>
            <w:pPr>
              <w:spacing w:after="100"/>
            </w:pPr>
            <w:r>
              <w:rPr>
                <w:rFonts w:ascii="Helvetica" w:cs="Helvetica" w:eastAsia="Helvetica" w:hAnsi="Helvetica"/>
                <w:b/>
                <w:bCs/>
                <w:color w:val="381D2A"/>
                <w:sz w:val="22"/>
                <w:szCs w:val="22"/>
              </w:rPr>
              <w:t xml:space="preserve">May 31: </w:t>
            </w:r>
            <w:r>
              <w:rPr>
                <w:rFonts w:ascii="Helvetica" w:cs="Helvetica" w:eastAsia="Helvetica" w:hAnsi="Helvetica"/>
                <w:color w:val="381D2A"/>
                <w:sz w:val="21"/>
                <w:szCs w:val="21"/>
              </w:rPr>
              <w:t xml:space="preserve">$15K revenue. 6+ retainer clients. Academy Base launched. 2 workshops delivered.</w:t>
            </w:r>
          </w:p>
          <w:p>
            <w:pPr>
              <w:spacing w:after="100"/>
            </w:pPr>
            <w:r>
              <w:rPr>
                <w:rFonts w:ascii="Helvetica" w:cs="Helvetica" w:eastAsia="Helvetica" w:hAnsi="Helvetica"/>
                <w:b/>
                <w:bCs/>
                <w:color w:val="381D2A"/>
                <w:sz w:val="22"/>
                <w:szCs w:val="22"/>
              </w:rPr>
              <w:t xml:space="preserve">June 30: </w:t>
            </w:r>
            <w:r>
              <w:rPr>
                <w:rFonts w:ascii="Helvetica" w:cs="Helvetica" w:eastAsia="Helvetica" w:hAnsi="Helvetica"/>
                <w:color w:val="381D2A"/>
                <w:sz w:val="21"/>
                <w:szCs w:val="21"/>
              </w:rPr>
              <w:t xml:space="preserve">$18-20K revenue. 8+ retainer clients. 10+ Academy subscribers. Monthly workshop cadence. Concentration risk below 20% per client.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F05A00"/>
                <w:sz w:val="22"/>
                <w:szCs w:val="22"/>
              </w:rPr>
              <w:t xml:space="preserve">December 31: </w:t>
            </w:r>
            <w:r>
              <w:rPr>
                <w:rFonts w:ascii="Helvetica" w:cs="Helvetica" w:eastAsia="Helvetica" w:hAnsi="Helvetica"/>
                <w:color w:val="381D2A"/>
                <w:sz w:val="21"/>
                <w:szCs w:val="21"/>
              </w:rPr>
              <w:t xml:space="preserve">$30K/mo stretch target. $15K MRR + $8K projects + $7K Academy. Hire first team member.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Helvetica" w:cs="Helvetica" w:eastAsia="Helvetica" w:hAnsi="Helvetica"/>
          <w:i/>
          <w:iCs/>
          <w:color w:val="3E6990"/>
          <w:sz w:val="20"/>
          <w:szCs w:val="20"/>
        </w:rPr>
        <w:t xml:space="preserve">— End of Playbook —</w:t>
      </w:r>
    </w:p>
    <w:p>
      <w:pPr>
        <w:spacing w:after="0" w:before="100"/>
      </w:pPr>
    </w:p>
    <w:p>
      <w:pPr>
        <w:jc w:val="center"/>
      </w:pPr>
      <w:r>
        <w:rPr>
          <w:rFonts w:ascii="Helvetica" w:cs="Helvetica" w:eastAsia="Helvetica" w:hAnsi="Helvetica"/>
          <w:b/>
          <w:bCs/>
          <w:color w:val="381D2A"/>
          <w:sz w:val="22"/>
          <w:szCs w:val="22"/>
        </w:rPr>
        <w:t xml:space="preserve">Review weekly. Update monthly. Execute daily.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" w:cs="Helvetica" w:eastAsia="Helvetica" w:hAnsi="Helvetica"/>
        <w:color w:val="3E6990"/>
        <w:sz w:val="16"/>
        <w:szCs w:val="16"/>
      </w:rPr>
      <w:t xml:space="preserve">Tech Horizon Labs — Internal Strategy Document  |  Page </w:t>
    </w:r>
    <w:r>
      <w:rPr>
        <w:rFonts w:ascii="Helvetica" w:cs="Helvetica" w:eastAsia="Helvetica" w:hAnsi="Helvetica"/>
        <w:color w:val="3E69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" w:cs="Helvetica" w:eastAsia="Helvetica" w:hAnsi="Helvetica"/>
        <w:i/>
        <w:iCs/>
        <w:color w:val="F05A00"/>
        <w:sz w:val="16"/>
        <w:szCs w:val="16"/>
      </w:rPr>
      <w:t xml:space="preserve">THL Growth Playbook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2026-04-04T06:35:13.127Z</dcterms:created>
  <dcterms:modified xsi:type="dcterms:W3CDTF">2026-04-04T06:35:13.127Z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