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72F13AC2"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 SB+ (</w:t>
            </w:r>
            <w:r w:rsidR="00143658" w:rsidRPr="00591DFB">
              <w:rPr>
                <w:rFonts w:asciiTheme="minorHAnsi" w:eastAsia="Times New Roman" w:hAnsiTheme="minorHAnsi" w:cstheme="minorHAnsi"/>
                <w:color w:val="333333"/>
              </w:rPr>
              <w:t>Feb 23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660156D0" w:rsidR="003D3B7F" w:rsidRPr="00591DFB" w:rsidRDefault="008876C7">
            <w:pPr>
              <w:rPr>
                <w:rFonts w:asciiTheme="minorHAnsi" w:hAnsiTheme="minorHAnsi" w:cstheme="minorHAnsi"/>
              </w:rPr>
            </w:pPr>
            <w:r>
              <w:rPr>
                <w:rFonts w:asciiTheme="minorHAnsi" w:eastAsia="Times New Roman" w:hAnsiTheme="minorHAnsi" w:cstheme="minorHAnsi"/>
                <w:color w:val="333333"/>
              </w:rPr>
              <w:t>06</w:t>
            </w:r>
            <w:r w:rsidR="00143658" w:rsidRPr="00591DFB">
              <w:rPr>
                <w:rFonts w:asciiTheme="minorHAnsi" w:eastAsia="Times New Roman" w:hAnsiTheme="minorHAnsi" w:cstheme="minorHAnsi"/>
                <w:color w:val="333333"/>
              </w:rPr>
              <w:t>/0</w:t>
            </w:r>
            <w:r>
              <w:rPr>
                <w:rFonts w:asciiTheme="minorHAnsi" w:eastAsia="Times New Roman" w:hAnsiTheme="minorHAnsi" w:cstheme="minorHAnsi"/>
                <w:color w:val="333333"/>
              </w:rPr>
              <w:t>9</w:t>
            </w:r>
            <w:r w:rsidR="00391A93" w:rsidRPr="00591DFB">
              <w:rPr>
                <w:rFonts w:asciiTheme="minorHAnsi" w:eastAsia="Times New Roman" w:hAnsiTheme="minorHAnsi" w:cstheme="minorHAnsi"/>
                <w:color w:val="333333"/>
              </w:rPr>
              <w:t>/202</w:t>
            </w:r>
            <w:r w:rsidR="000306A0" w:rsidRPr="00591DFB">
              <w:rPr>
                <w:rFonts w:asciiTheme="minorHAnsi" w:eastAsia="Times New Roman" w:hAnsiTheme="minorHAnsi" w:cstheme="minorHAnsi"/>
                <w:color w:val="333333"/>
              </w:rPr>
              <w:t>3</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w:t>
            </w:r>
            <w:proofErr w:type="spellStart"/>
            <w:r w:rsidRPr="00591DFB">
              <w:rPr>
                <w:rFonts w:asciiTheme="minorHAnsi" w:hAnsiTheme="minorHAnsi" w:cstheme="minorHAnsi"/>
                <w:b/>
                <w:bCs/>
              </w:rPr>
              <w:t>jupyter</w:t>
            </w:r>
            <w:proofErr w:type="spellEnd"/>
            <w:r w:rsidRPr="00591DFB">
              <w:rPr>
                <w:rFonts w:asciiTheme="minorHAnsi" w:hAnsiTheme="minorHAnsi" w:cstheme="minorHAnsi"/>
                <w:b/>
                <w:bCs/>
              </w:rPr>
              <w:t xml:space="preserve">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1F0A3954" w:rsidR="003D3B7F" w:rsidRPr="00591DFB" w:rsidRDefault="008876C7">
            <w:pPr>
              <w:rPr>
                <w:rFonts w:asciiTheme="minorHAnsi" w:hAnsiTheme="minorHAnsi" w:cstheme="minorHAnsi"/>
              </w:rPr>
            </w:pPr>
            <w:r>
              <w:rPr>
                <w:rFonts w:asciiTheme="minorHAnsi" w:eastAsia="Times New Roman" w:hAnsiTheme="minorHAnsi" w:cstheme="minorHAnsi"/>
                <w:color w:val="333333"/>
              </w:rPr>
              <w:t>6</w:t>
            </w:r>
            <w:r w:rsidR="00391A93" w:rsidRPr="00591DFB">
              <w:rPr>
                <w:rFonts w:asciiTheme="minorHAnsi" w:eastAsia="Times New Roman" w:hAnsiTheme="minorHAnsi" w:cstheme="minorHAnsi"/>
                <w:color w:val="333333"/>
                <w:vertAlign w:val="superscript"/>
              </w:rPr>
              <w:t>th</w:t>
            </w:r>
            <w:r w:rsidR="00391A93" w:rsidRPr="00591DFB">
              <w:rPr>
                <w:rFonts w:asciiTheme="minorHAnsi" w:eastAsia="Times New Roman" w:hAnsiTheme="minorHAnsi" w:cstheme="minorHAnsi"/>
                <w:color w:val="333333"/>
              </w:rPr>
              <w:t xml:space="preserve"> </w:t>
            </w:r>
            <w:r>
              <w:rPr>
                <w:rFonts w:asciiTheme="minorHAnsi" w:eastAsia="Times New Roman" w:hAnsiTheme="minorHAnsi" w:cstheme="minorHAnsi"/>
                <w:color w:val="333333"/>
              </w:rPr>
              <w:t>October</w:t>
            </w:r>
            <w:r w:rsidR="000306A0" w:rsidRPr="00591DFB">
              <w:rPr>
                <w:rFonts w:asciiTheme="minorHAnsi" w:eastAsia="Times New Roman" w:hAnsiTheme="minorHAnsi" w:cstheme="minorHAnsi"/>
                <w:color w:val="333333"/>
              </w:rPr>
              <w:t xml:space="preserve"> 2023</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Pr="00591DFB"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31A829FB" w14:textId="0EC9BFA5" w:rsidR="00591DFB" w:rsidRPr="00591DFB" w:rsidRDefault="00591DFB">
      <w:pPr>
        <w:spacing w:after="5" w:line="265" w:lineRule="auto"/>
        <w:ind w:left="-5" w:hanging="10"/>
        <w:rPr>
          <w:rFonts w:asciiTheme="minorHAnsi" w:hAnsiTheme="minorHAnsi" w:cstheme="minorHAnsi"/>
          <w:b/>
          <w:bCs/>
        </w:rPr>
      </w:pPr>
      <w:r w:rsidRPr="00591DFB">
        <w:rPr>
          <w:rFonts w:asciiTheme="minorHAnsi" w:hAnsiTheme="minorHAnsi" w:cstheme="minorHAnsi"/>
          <w:b/>
          <w:bCs/>
        </w:rPr>
        <w:t>Submissions that are suspected of plagiarism and/or inclusion of AI (CHATGBT, BARD etc…) Generated content will be referred to the college authorities.</w:t>
      </w:r>
    </w:p>
    <w:p w14:paraId="062590B3" w14:textId="77777777" w:rsidR="000306A0" w:rsidRPr="00591DFB" w:rsidRDefault="000306A0">
      <w:pPr>
        <w:spacing w:after="4" w:line="269" w:lineRule="auto"/>
        <w:ind w:left="10" w:hanging="10"/>
        <w:rPr>
          <w:rFonts w:asciiTheme="minorHAnsi" w:eastAsia="Times New Roman" w:hAnsiTheme="minorHAnsi" w:cstheme="minorHAnsi"/>
          <w:color w:val="333333"/>
        </w:rPr>
      </w:pPr>
    </w:p>
    <w:p w14:paraId="5DE6E5D0" w14:textId="77777777" w:rsidR="00591DFB" w:rsidRDefault="00591DFB">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lastRenderedPageBreak/>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combining Advanced data analytics (specifically Neural Networks) and Big Data Storage &amp; Processing.</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624CC5C" w14:textId="6D077FB0" w:rsidR="00391A93"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591DFB"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77777777"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w:t>
      </w:r>
      <w:r w:rsidRPr="00591DFB">
        <w:rPr>
          <w:rFonts w:asciiTheme="minorHAnsi" w:eastAsia="Times New Roman" w:hAnsiTheme="minorHAnsi" w:cstheme="minorHAnsi"/>
          <w:color w:val="333333"/>
          <w:vertAlign w:val="superscript"/>
        </w:rPr>
        <w:t>1</w:t>
      </w:r>
      <w:r w:rsidRPr="00591DFB">
        <w:rPr>
          <w:rFonts w:asciiTheme="minorHAnsi" w:eastAsia="Times New Roman" w:hAnsiTheme="minorHAnsi" w:cstheme="minorHAnsi"/>
          <w:color w:val="333333"/>
        </w:rPr>
        <w:t xml:space="preserve">.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w:t>
      </w:r>
      <w:proofErr w:type="spellStart"/>
      <w:r w:rsidRPr="00591DFB">
        <w:rPr>
          <w:rFonts w:asciiTheme="minorHAnsi" w:eastAsia="Times New Roman" w:hAnsiTheme="minorHAnsi" w:cstheme="minorHAnsi"/>
          <w:color w:val="333333"/>
        </w:rPr>
        <w:t>StudentID</w:t>
      </w:r>
      <w:proofErr w:type="spellEnd"/>
      <w:r w:rsidRPr="00591DFB">
        <w:rPr>
          <w:rFonts w:asciiTheme="minorHAnsi" w:eastAsia="Times New Roman" w:hAnsiTheme="minorHAnsi" w:cstheme="minorHAnsi"/>
          <w:color w:val="333333"/>
        </w:rPr>
        <w:t xml:space="preserve">,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w:t>
      </w:r>
      <w:proofErr w:type="spellStart"/>
      <w:r w:rsidRPr="00591DFB">
        <w:rPr>
          <w:rFonts w:asciiTheme="minorHAnsi" w:eastAsia="Times New Roman" w:hAnsiTheme="minorHAnsi" w:cstheme="minorHAnsi"/>
          <w:color w:val="333333"/>
        </w:rPr>
        <w:t>studentID_Integrated_CA</w:t>
      </w:r>
      <w:proofErr w:type="spellEnd"/>
      <w:r w:rsidRPr="00591DFB">
        <w:rPr>
          <w:rFonts w:asciiTheme="minorHAnsi" w:eastAsia="Times New Roman" w:hAnsiTheme="minorHAnsi" w:cstheme="minorHAnsi"/>
          <w:color w:val="333333"/>
        </w:rPr>
        <w:t xml:space="preserve">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Code files (</w:t>
      </w:r>
      <w:proofErr w:type="spellStart"/>
      <w:r w:rsidRPr="00591DFB">
        <w:rPr>
          <w:rFonts w:asciiTheme="minorHAnsi" w:hAnsiTheme="minorHAnsi" w:cstheme="minorHAnsi"/>
        </w:rPr>
        <w:t>jupyter</w:t>
      </w:r>
      <w:proofErr w:type="spellEnd"/>
      <w:r w:rsidRPr="00591DFB">
        <w:rPr>
          <w:rFonts w:asciiTheme="minorHAnsi" w:hAnsiTheme="minorHAnsi" w:cstheme="minorHAnsi"/>
        </w:rPr>
        <w:t xml:space="preserve">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lastRenderedPageBreak/>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Pr="00591DFB">
        <w:rPr>
          <w:rFonts w:asciiTheme="minorHAnsi" w:eastAsia="Times New Roman" w:hAnsiTheme="minorHAnsi" w:cstheme="minorHAnsi"/>
          <w:color w:val="0563C1"/>
          <w:u w:val="single" w:color="0563C1"/>
        </w:rPr>
        <w:t>CCT Learning Space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2E80A2D4" w14:textId="17F35D95" w:rsidR="00391A93" w:rsidRPr="00591DFB" w:rsidRDefault="00391A93" w:rsidP="00391A93">
      <w:pPr>
        <w:spacing w:after="7" w:line="266" w:lineRule="auto"/>
        <w:rPr>
          <w:rFonts w:asciiTheme="minorHAnsi" w:eastAsia="Times New Roman" w:hAnsiTheme="minorHAnsi" w:cstheme="minorHAnsi"/>
        </w:rPr>
      </w:pPr>
    </w:p>
    <w:p w14:paraId="6E59EA4D" w14:textId="0A7E8FA0" w:rsidR="00391A93" w:rsidRPr="00591DFB" w:rsidRDefault="00391A93" w:rsidP="00391A93">
      <w:pPr>
        <w:spacing w:after="7" w:line="266" w:lineRule="auto"/>
        <w:rPr>
          <w:rFonts w:asciiTheme="minorHAnsi" w:eastAsia="Times New Roman" w:hAnsiTheme="minorHAnsi" w:cstheme="minorHAnsi"/>
        </w:rPr>
      </w:pPr>
    </w:p>
    <w:p w14:paraId="3458A625" w14:textId="47EABC0C" w:rsidR="00391A93" w:rsidRPr="00591DFB" w:rsidRDefault="00391A93" w:rsidP="00391A93">
      <w:pPr>
        <w:spacing w:after="7" w:line="266" w:lineRule="auto"/>
        <w:rPr>
          <w:rFonts w:asciiTheme="minorHAnsi" w:eastAsia="Times New Roman" w:hAnsiTheme="minorHAnsi" w:cstheme="minorHAnsi"/>
        </w:rPr>
      </w:pPr>
    </w:p>
    <w:p w14:paraId="133CF3B3" w14:textId="245DDD9D" w:rsidR="00391A93" w:rsidRPr="00591DFB" w:rsidRDefault="00391A93" w:rsidP="00391A93">
      <w:pPr>
        <w:spacing w:after="7" w:line="266" w:lineRule="auto"/>
        <w:rPr>
          <w:rFonts w:asciiTheme="minorHAnsi" w:eastAsia="Times New Roman" w:hAnsiTheme="minorHAnsi" w:cstheme="minorHAnsi"/>
        </w:rPr>
      </w:pPr>
    </w:p>
    <w:p w14:paraId="400BA3BB" w14:textId="199512A7" w:rsidR="00391A93" w:rsidRPr="00591DFB" w:rsidRDefault="00391A93" w:rsidP="00391A93">
      <w:pPr>
        <w:spacing w:after="7" w:line="266" w:lineRule="auto"/>
        <w:rPr>
          <w:rFonts w:asciiTheme="minorHAnsi" w:eastAsia="Times New Roman" w:hAnsiTheme="minorHAnsi" w:cstheme="minorHAnsi"/>
        </w:rPr>
      </w:pPr>
    </w:p>
    <w:p w14:paraId="06F962B8" w14:textId="284CDC5A" w:rsidR="00391A93" w:rsidRPr="00591DFB" w:rsidRDefault="00391A93" w:rsidP="00391A93">
      <w:pPr>
        <w:spacing w:after="7" w:line="266" w:lineRule="auto"/>
        <w:rPr>
          <w:rFonts w:asciiTheme="minorHAnsi" w:eastAsia="Times New Roman" w:hAnsiTheme="minorHAnsi" w:cstheme="minorHAnsi"/>
        </w:rPr>
      </w:pPr>
    </w:p>
    <w:p w14:paraId="27AE2251" w14:textId="5E674B0D" w:rsidR="00391A93" w:rsidRPr="00591DFB" w:rsidRDefault="00391A93" w:rsidP="00391A93">
      <w:pPr>
        <w:spacing w:after="7" w:line="266" w:lineRule="auto"/>
        <w:rPr>
          <w:rFonts w:asciiTheme="minorHAnsi" w:eastAsia="Times New Roman" w:hAnsiTheme="minorHAnsi" w:cstheme="minorHAnsi"/>
        </w:rPr>
      </w:pPr>
    </w:p>
    <w:p w14:paraId="3BB71275" w14:textId="794BD915" w:rsidR="00391A93" w:rsidRPr="00591DFB" w:rsidRDefault="00391A93" w:rsidP="00391A93">
      <w:pPr>
        <w:spacing w:after="7" w:line="266" w:lineRule="auto"/>
        <w:rPr>
          <w:rFonts w:asciiTheme="minorHAnsi" w:eastAsia="Times New Roman" w:hAnsiTheme="minorHAnsi" w:cstheme="minorHAnsi"/>
        </w:rPr>
      </w:pPr>
    </w:p>
    <w:p w14:paraId="6DD3FEE0" w14:textId="78E5C824" w:rsidR="00391A93" w:rsidRPr="00591DFB" w:rsidRDefault="00391A93" w:rsidP="00391A93">
      <w:pPr>
        <w:spacing w:after="7" w:line="266" w:lineRule="auto"/>
        <w:rPr>
          <w:rFonts w:asciiTheme="minorHAnsi" w:eastAsia="Times New Roman" w:hAnsiTheme="minorHAnsi" w:cstheme="minorHAnsi"/>
        </w:rPr>
      </w:pPr>
    </w:p>
    <w:p w14:paraId="223BF528" w14:textId="7138BE8B" w:rsidR="00391A93" w:rsidRPr="00591DFB" w:rsidRDefault="00391A93" w:rsidP="00391A93">
      <w:pPr>
        <w:spacing w:after="7" w:line="266" w:lineRule="auto"/>
        <w:rPr>
          <w:rFonts w:asciiTheme="minorHAnsi" w:eastAsia="Times New Roman" w:hAnsiTheme="minorHAnsi" w:cstheme="minorHAnsi"/>
        </w:rPr>
      </w:pPr>
    </w:p>
    <w:p w14:paraId="28F2D17C" w14:textId="065B469C" w:rsidR="00391A93" w:rsidRPr="00591DFB" w:rsidRDefault="00391A93" w:rsidP="00391A93">
      <w:pPr>
        <w:spacing w:after="7" w:line="266" w:lineRule="auto"/>
        <w:rPr>
          <w:rFonts w:asciiTheme="minorHAnsi" w:eastAsia="Times New Roman" w:hAnsiTheme="minorHAnsi" w:cstheme="minorHAnsi"/>
        </w:rPr>
      </w:pPr>
    </w:p>
    <w:p w14:paraId="76B089DD" w14:textId="6DA5D027" w:rsidR="00391A93" w:rsidRPr="00591DFB" w:rsidRDefault="00391A93" w:rsidP="00391A93">
      <w:pPr>
        <w:spacing w:after="7" w:line="266" w:lineRule="auto"/>
        <w:rPr>
          <w:rFonts w:asciiTheme="minorHAnsi" w:eastAsia="Times New Roman" w:hAnsiTheme="minorHAnsi" w:cstheme="minorHAnsi"/>
        </w:rPr>
      </w:pPr>
    </w:p>
    <w:p w14:paraId="0D2F6587" w14:textId="6E569B2C" w:rsidR="00391A93" w:rsidRPr="00591DFB" w:rsidRDefault="00391A93" w:rsidP="00391A93">
      <w:pPr>
        <w:spacing w:after="7" w:line="266" w:lineRule="auto"/>
        <w:rPr>
          <w:rFonts w:asciiTheme="minorHAnsi" w:eastAsia="Times New Roman" w:hAnsiTheme="minorHAnsi" w:cstheme="minorHAnsi"/>
        </w:rPr>
      </w:pPr>
    </w:p>
    <w:p w14:paraId="0B8BCA7E" w14:textId="0CE3FFA5" w:rsidR="00391A93" w:rsidRPr="00591DFB" w:rsidRDefault="00391A93" w:rsidP="00391A93">
      <w:pPr>
        <w:spacing w:after="7" w:line="266" w:lineRule="auto"/>
        <w:rPr>
          <w:rFonts w:asciiTheme="minorHAnsi" w:eastAsia="Times New Roman" w:hAnsiTheme="minorHAnsi" w:cstheme="minorHAnsi"/>
        </w:rPr>
      </w:pPr>
    </w:p>
    <w:p w14:paraId="21D31571" w14:textId="39EA41E1" w:rsidR="00391A93" w:rsidRPr="00591DFB" w:rsidRDefault="00391A93" w:rsidP="00391A93">
      <w:pPr>
        <w:spacing w:after="7" w:line="266" w:lineRule="auto"/>
        <w:rPr>
          <w:rFonts w:asciiTheme="minorHAnsi" w:eastAsia="Times New Roman" w:hAnsiTheme="minorHAnsi" w:cstheme="minorHAnsi"/>
        </w:rPr>
      </w:pPr>
    </w:p>
    <w:p w14:paraId="6AEE268F" w14:textId="4D4A2346" w:rsidR="00391A93" w:rsidRPr="00591DFB" w:rsidRDefault="00391A93" w:rsidP="00391A93">
      <w:pPr>
        <w:spacing w:after="7" w:line="266" w:lineRule="auto"/>
        <w:rPr>
          <w:rFonts w:asciiTheme="minorHAnsi" w:eastAsia="Times New Roman" w:hAnsiTheme="minorHAnsi" w:cstheme="minorHAnsi"/>
        </w:rPr>
      </w:pPr>
    </w:p>
    <w:p w14:paraId="303820DA" w14:textId="74511EAA"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5AC93B69" w14:textId="74F91192" w:rsidR="00391A93" w:rsidRPr="00591DFB" w:rsidRDefault="00391A93" w:rsidP="00391A93">
      <w:pPr>
        <w:spacing w:after="7" w:line="266" w:lineRule="auto"/>
        <w:rPr>
          <w:rFonts w:asciiTheme="minorHAnsi" w:eastAsia="Times New Roman" w:hAnsiTheme="minorHAnsi" w:cstheme="minorHAnsi"/>
        </w:rPr>
      </w:pPr>
    </w:p>
    <w:p w14:paraId="1223F37F" w14:textId="08410085" w:rsidR="00391A93" w:rsidRPr="00591DFB" w:rsidRDefault="00391A93" w:rsidP="00391A93">
      <w:pPr>
        <w:spacing w:after="7" w:line="266" w:lineRule="auto"/>
        <w:rPr>
          <w:rFonts w:asciiTheme="minorHAnsi" w:eastAsia="Times New Roman" w:hAnsiTheme="minorHAnsi" w:cstheme="minorHAnsi"/>
        </w:rPr>
      </w:pPr>
    </w:p>
    <w:p w14:paraId="40BD9654" w14:textId="443CEE34" w:rsidR="00391A93" w:rsidRPr="00591DFB" w:rsidRDefault="00391A93" w:rsidP="00391A93">
      <w:pPr>
        <w:spacing w:after="7" w:line="266" w:lineRule="auto"/>
        <w:rPr>
          <w:rFonts w:asciiTheme="minorHAnsi" w:eastAsia="Times New Roman" w:hAnsiTheme="minorHAnsi" w:cstheme="minorHAnsi"/>
        </w:rPr>
      </w:pPr>
    </w:p>
    <w:p w14:paraId="708B2AFD" w14:textId="25FD0D8B" w:rsidR="00391A93" w:rsidRPr="00591DFB" w:rsidRDefault="00391A93" w:rsidP="00391A93">
      <w:pPr>
        <w:spacing w:after="7" w:line="266" w:lineRule="auto"/>
        <w:rPr>
          <w:rFonts w:asciiTheme="minorHAnsi" w:eastAsia="Times New Roman" w:hAnsiTheme="minorHAnsi" w:cstheme="minorHAnsi"/>
        </w:rPr>
      </w:pPr>
    </w:p>
    <w:p w14:paraId="77FD5B0B" w14:textId="4D9AB51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2"/>
  </w:num>
  <w:num w:numId="2" w16cid:durableId="309754649">
    <w:abstractNumId w:val="1"/>
  </w:num>
  <w:num w:numId="3" w16cid:durableId="169372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591DFB"/>
    <w:rsid w:val="008876C7"/>
    <w:rsid w:val="00BB79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David McQuaid</cp:lastModifiedBy>
  <cp:revision>2</cp:revision>
  <dcterms:created xsi:type="dcterms:W3CDTF">2023-09-06T13:42:00Z</dcterms:created>
  <dcterms:modified xsi:type="dcterms:W3CDTF">2023-09-06T13:42:00Z</dcterms:modified>
</cp:coreProperties>
</file>