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B4F72"/>
          <w:sz w:val="44"/>
          <w:szCs w:val="44"/>
        </w:rPr>
        <w:t xml:space="preserve">Anthropic Plugin Distribution Strategy</w:t>
      </w:r>
    </w:p>
    <w:p>
      <w:pPr>
        <w:spacing w:after="50"/>
        <w:jc w:val="center"/>
      </w:pPr>
      <w:r>
        <w:rPr>
          <w:color w:val="2980B9"/>
          <w:sz w:val="28"/>
          <w:szCs w:val="28"/>
        </w:rPr>
        <w:t xml:space="preserve">Tomorrow · Apparently · Smrter · Pareto/2080</w:t>
      </w:r>
    </w:p>
    <w:p>
      <w:pPr>
        <w:spacing w:after="400"/>
        <w:jc w:val="center"/>
      </w:pPr>
      <w:r>
        <w:rPr>
          <w:color w:val="777777"/>
          <w:sz w:val="22"/>
          <w:szCs w:val="22"/>
        </w:rPr>
        <w:t xml:space="preserve">July 10, 2026 — Strategic Analysis &amp; Architecture</w:t>
      </w:r>
    </w:p>
    <w:p>
      <w:pPr>
        <w:pStyle w:val="Heading1"/>
        <w:spacing w:after="150" w:before="300"/>
      </w:pPr>
      <w:r>
        <w:rPr>
          <w:b/>
          <w:bCs/>
          <w:color w:val="1B4F72"/>
        </w:rPr>
        <w:t xml:space="preserve">1. Executive Summary</w:t>
      </w:r>
    </w:p>
    <w:p>
      <w:pPr>
        <w:spacing w:after="120"/>
      </w:pPr>
      <w:r>
        <w:rPr>
          <w:color w:val="2C3E50"/>
          <w:sz w:val="22"/>
          <w:szCs w:val="22"/>
        </w:rPr>
        <w:t xml:space="preserve">Anthropic's plugin ecosystem has reached critical mass: 101 official plugins, 5,800+ MCP servers, 97M+ SDK downloads, and a proven pattern of vertical-specific plugin suites (Finance, Legal, Creative, Small Business). The marketplace is open for third-party submission. This document analyzes the opportunity to distribute four Beethoven portfolio products as Claude plugins, enabling one-click discovery-to-payment-to-execution within Claude's conversational interface.</w:t>
      </w:r>
    </w:p>
    <w:p>
      <w:pPr>
        <w:spacing w:after="120"/>
      </w:pPr>
      <w:r>
        <w:rPr>
          <w:color w:val="2C3E50"/>
          <w:sz w:val="22"/>
          <w:szCs w:val="22"/>
        </w:rPr>
        <w:t xml:space="preserve">The core thesis: users already describe problems that these products solve directly in Claude prompts. When Claude's suggest_connectors system detects intent alignment, it can surface the relevant plugin with a single install action — converting high-intent problem description into product adoption with zero friction.</w:t>
      </w:r>
    </w:p>
    <w:p>
      <w:r>
        <w:br/>
        <w:t xml:space="preserve"/>
      </w:r>
    </w:p>
    <w:p>
      <w:pPr>
        <w:pStyle w:val="Heading1"/>
        <w:spacing w:after="150" w:before="300"/>
      </w:pPr>
      <w:r>
        <w:rPr>
          <w:b/>
          <w:bCs/>
          <w:color w:val="1B4F72"/>
        </w:rPr>
        <w:t xml:space="preserve">2. Anthropic Plugin Ecosystem — Current State</w:t>
      </w:r>
    </w:p>
    <w:p>
      <w:pPr>
        <w:pStyle w:val="Heading2"/>
        <w:spacing w:after="150" w:before="300"/>
      </w:pPr>
      <w:r>
        <w:rPr>
          <w:b/>
          <w:bCs/>
          <w:color w:val="1B4F72"/>
        </w:rPr>
        <w:t xml:space="preserve">2.1 Architecture</w:t>
      </w:r>
    </w:p>
    <w:p>
      <w:pPr>
        <w:spacing w:after="120"/>
      </w:pPr>
      <w:r>
        <w:rPr>
          <w:color w:val="2C3E50"/>
          <w:sz w:val="22"/>
          <w:szCs w:val="22"/>
        </w:rPr>
        <w:t xml:space="preserve">Claude's customization stack has three layers: MCP Connectors (API-backed tool integrations authenticated via OAuth), Skills (markdown instruction files that shape Claude's behavior for specific domains), and Plugins (bundles of connectors + skills + hooks + sub-agents distributed as installable units). A plugin is a self-contained directory with a .claude-plugin/plugin.json manifest.</w:t>
      </w:r>
    </w:p>
    <w:p>
      <w:pPr>
        <w:pStyle w:val="Heading2"/>
        <w:spacing w:after="150" w:before="300"/>
      </w:pPr>
      <w:r>
        <w:rPr>
          <w:b/>
          <w:bCs/>
          <w:color w:val="1B4F72"/>
        </w:rPr>
        <w:t xml:space="preserve">2.2 Distribution Channels</w:t>
      </w:r>
    </w:p>
    <w:p>
      <w:pPr>
        <w:spacing w:after="120"/>
      </w:pPr>
      <w:r>
        <w:rPr>
          <w:b/>
          <w:bCs/>
          <w:color w:val="2C3E50"/>
          <w:sz w:val="22"/>
          <w:szCs w:val="22"/>
        </w:rPr>
        <w:t xml:space="preserve">Official Marketplace: </w:t>
      </w:r>
      <w:r>
        <w:rPr>
          <w:color w:val="2C3E50"/>
          <w:sz w:val="22"/>
          <w:szCs w:val="22"/>
        </w:rPr>
        <w:t xml:space="preserve">Anthropic-curated, automatically available in Claude Code and Cowork. 101 plugins as of March 2026. Submission via GitHub PR to anthropics/claude-plugins-official. Review period: 2 weeks to several months.</w:t>
      </w:r>
    </w:p>
    <w:p>
      <w:pPr>
        <w:spacing w:after="120"/>
      </w:pPr>
      <w:r>
        <w:rPr>
          <w:b/>
          <w:bCs/>
          <w:color w:val="2C3E50"/>
          <w:sz w:val="22"/>
          <w:szCs w:val="22"/>
        </w:rPr>
        <w:t xml:space="preserve">Connectors Directory: </w:t>
      </w:r>
      <w:r>
        <w:rPr>
          <w:color w:val="2C3E50"/>
          <w:sz w:val="22"/>
          <w:szCs w:val="22"/>
        </w:rPr>
        <w:t xml:space="preserve">Stricter review. Requires production-ready remote MCP server, OAuth integration, privacy policy, test credentials, and 3-5 listing screenshots. Tools must have readOnlyHint/destructiveHint annotations. Auth callback: https://claude.ai/api/mcp/auth_callback.</w:t>
      </w:r>
    </w:p>
    <w:p>
      <w:pPr>
        <w:spacing w:after="120"/>
      </w:pPr>
      <w:r>
        <w:rPr>
          <w:b/>
          <w:bCs/>
          <w:color w:val="2C3E50"/>
          <w:sz w:val="22"/>
          <w:szCs w:val="22"/>
        </w:rPr>
        <w:t xml:space="preserve">Third-Party Marketplaces: </w:t>
      </w:r>
      <w:r>
        <w:rPr>
          <w:color w:val="2C3E50"/>
          <w:sz w:val="22"/>
          <w:szCs w:val="22"/>
        </w:rPr>
        <w:t xml:space="preserve">Community-run directories (e.g., claudepluginhub.com, LobeHub). Lower barrier, less discovery.</w:t>
      </w:r>
    </w:p>
    <w:p>
      <w:pPr>
        <w:pStyle w:val="Heading2"/>
        <w:spacing w:after="150" w:before="300"/>
      </w:pPr>
      <w:r>
        <w:rPr>
          <w:b/>
          <w:bCs/>
          <w:color w:val="1B4F72"/>
        </w:rPr>
        <w:t xml:space="preserve">2.3 Monetization</w:t>
      </w:r>
    </w:p>
    <w:p>
      <w:pPr>
        <w:spacing w:after="120"/>
      </w:pPr>
      <w:r>
        <w:rPr>
          <w:color w:val="2C3E50"/>
          <w:sz w:val="22"/>
          <w:szCs w:val="22"/>
        </w:rPr>
        <w:t xml:space="preserve">Anthropic has not yet published formal revenue-sharing terms for third-party plugin developers. The current model is connector-driven: plugins are free to install, and revenue flows through the connected service's own billing. Anthropic's financial services plugins follow this pattern — the plugin is free, but using it requires an active subscription to the data provider (FactSet, S&amp;P, etc.). This is the model to design around today.</w:t>
      </w:r>
    </w:p>
    <w:p>
      <w:pPr>
        <w:spacing w:after="120"/>
      </w:pPr>
      <w:r>
        <w:rPr>
          <w:color w:val="2C3E50"/>
          <w:sz w:val="22"/>
          <w:szCs w:val="22"/>
        </w:rPr>
        <w:t xml:space="preserve">A planned billing split (separate credit pools for first-party vs. third-party SDK usage) was announced May 2026 and reversed before taking effect, suggesting Anthropic is still iterating on the economics. Future monetization infrastructure is likely but not imminent.</w:t>
      </w:r>
    </w:p>
    <w:p>
      <w:pPr>
        <w:pStyle w:val="Heading2"/>
        <w:spacing w:after="150" w:before="300"/>
      </w:pPr>
      <w:r>
        <w:rPr>
          <w:b/>
          <w:bCs/>
          <w:color w:val="1B4F72"/>
        </w:rPr>
        <w:t xml:space="preserve">2.4 Precedent: Vertical Plugin Suites</w:t>
      </w:r>
    </w:p>
    <w:p>
      <w:pPr>
        <w:spacing w:after="120"/>
      </w:pPr>
      <w:r>
        <w:rPr>
          <w:color w:val="2C3E50"/>
          <w:sz w:val="22"/>
          <w:szCs w:val="22"/>
        </w:rPr>
        <w:t xml:space="preserve">Anthropic has established a clear playbook with three vertical launches in H1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1B4F72" w:val="clear"/>
          </w:tcPr>
          <w:p>
            <w:pPr>
              <w:spacing w:after="40" w:before="40"/>
            </w:pPr>
            <w:r>
              <w:rPr>
                <w:b/>
                <w:bCs/>
                <w:color w:val="FFFFFF"/>
                <w:sz w:val="20"/>
                <w:szCs w:val="20"/>
              </w:rPr>
              <w:t xml:space="preserve">Vertical</w:t>
            </w:r>
          </w:p>
        </w:tc>
        <w:tc>
          <w:tcPr>
            <w:tcW w:type="dxa" w:w="3200"/>
            <w:shd w:fill="1B4F72" w:val="clear"/>
          </w:tcPr>
          <w:p>
            <w:pPr>
              <w:spacing w:after="40" w:before="40"/>
            </w:pPr>
            <w:r>
              <w:rPr>
                <w:b/>
                <w:bCs/>
                <w:color w:val="FFFFFF"/>
                <w:sz w:val="20"/>
                <w:szCs w:val="20"/>
              </w:rPr>
              <w:t xml:space="preserve">Connectors</w:t>
            </w:r>
          </w:p>
        </w:tc>
        <w:tc>
          <w:tcPr>
            <w:tcW w:type="dxa" w:w="3800"/>
            <w:shd w:fill="1B4F72" w:val="clear"/>
          </w:tcPr>
          <w:p>
            <w:pPr>
              <w:spacing w:after="40" w:before="40"/>
            </w:pPr>
            <w:r>
              <w:rPr>
                <w:b/>
                <w:bCs/>
                <w:color w:val="FFFFFF"/>
                <w:sz w:val="20"/>
                <w:szCs w:val="20"/>
              </w:rPr>
              <w:t xml:space="preserve">Plugins/Skills</w:t>
            </w:r>
          </w:p>
        </w:tc>
      </w:tr>
      <w:tr>
        <w:tc>
          <w:tcPr>
            <w:tcW w:type="dxa" w:w="2400"/>
            <w:shd w:fill="EBF5FB" w:val="clear"/>
          </w:tcPr>
          <w:p>
            <w:pPr>
              <w:spacing w:after="40" w:before="40"/>
            </w:pPr>
            <w:r>
              <w:rPr>
                <w:b w:val="false"/>
                <w:bCs w:val="false"/>
                <w:color w:val="2C3E50"/>
                <w:sz w:val="20"/>
                <w:szCs w:val="20"/>
              </w:rPr>
              <w:t xml:space="preserve">Finance</w:t>
            </w:r>
          </w:p>
        </w:tc>
        <w:tc>
          <w:tcPr>
            <w:tcW w:type="dxa" w:w="3200"/>
          </w:tcPr>
          <w:p>
            <w:pPr>
              <w:spacing w:after="40" w:before="40"/>
            </w:pPr>
            <w:r>
              <w:rPr>
                <w:b w:val="false"/>
                <w:bCs w:val="false"/>
                <w:color w:val="2C3E50"/>
                <w:sz w:val="20"/>
                <w:szCs w:val="20"/>
              </w:rPr>
              <w:t xml:space="preserve">FactSet, S&amp;P, MSCI, PitchBook, Morningstar, LSEG, Moody's, Daloopa</w:t>
            </w:r>
          </w:p>
        </w:tc>
        <w:tc>
          <w:tcPr>
            <w:tcW w:type="dxa" w:w="3800"/>
          </w:tcPr>
          <w:p>
            <w:pPr>
              <w:spacing w:after="40" w:before="40"/>
            </w:pPr>
            <w:r>
              <w:rPr>
                <w:b w:val="false"/>
                <w:bCs w:val="false"/>
                <w:color w:val="2C3E50"/>
                <w:sz w:val="20"/>
                <w:szCs w:val="20"/>
              </w:rPr>
              <w:t xml:space="preserve">Financial analysis, IB, equity research, PE, wealth mgmt, swap pricing</w:t>
            </w:r>
          </w:p>
        </w:tc>
      </w:tr>
      <w:tr>
        <w:tc>
          <w:tcPr>
            <w:tcW w:type="dxa" w:w="2400"/>
          </w:tcPr>
          <w:p>
            <w:pPr>
              <w:spacing w:after="40" w:before="40"/>
            </w:pPr>
            <w:r>
              <w:rPr>
                <w:b w:val="false"/>
                <w:bCs w:val="false"/>
                <w:color w:val="2C3E50"/>
                <w:sz w:val="20"/>
                <w:szCs w:val="20"/>
              </w:rPr>
              <w:t xml:space="preserve">Legal</w:t>
            </w:r>
          </w:p>
        </w:tc>
        <w:tc>
          <w:tcPr>
            <w:tcW w:type="dxa" w:w="3200"/>
          </w:tcPr>
          <w:p>
            <w:pPr>
              <w:spacing w:after="40" w:before="40"/>
            </w:pPr>
            <w:r>
              <w:rPr>
                <w:b w:val="false"/>
                <w:bCs w:val="false"/>
                <w:color w:val="2C3E50"/>
                <w:sz w:val="20"/>
                <w:szCs w:val="20"/>
              </w:rPr>
              <w:t xml:space="preserve">Ironclad, DocuSign, Relativity, Everlaw, Datasite, Midpage, Trellis (20+)</w:t>
            </w:r>
          </w:p>
        </w:tc>
        <w:tc>
          <w:tcPr>
            <w:tcW w:type="dxa" w:w="3800"/>
          </w:tcPr>
          <w:p>
            <w:pPr>
              <w:spacing w:after="40" w:before="40"/>
            </w:pPr>
            <w:r>
              <w:rPr>
                <w:b w:val="false"/>
                <w:bCs w:val="false"/>
                <w:color w:val="2C3E50"/>
                <w:sz w:val="20"/>
                <w:szCs w:val="20"/>
              </w:rPr>
              <w:t xml:space="preserve">12 practice-area plugins (contract review, compliance, NDA triage, etc.)</w:t>
            </w:r>
          </w:p>
        </w:tc>
      </w:tr>
      <w:tr>
        <w:tc>
          <w:tcPr>
            <w:tcW w:type="dxa" w:w="2400"/>
            <w:shd w:fill="EBF5FB" w:val="clear"/>
          </w:tcPr>
          <w:p>
            <w:pPr>
              <w:spacing w:after="40" w:before="40"/>
            </w:pPr>
            <w:r>
              <w:rPr>
                <w:b w:val="false"/>
                <w:bCs w:val="false"/>
                <w:color w:val="2C3E50"/>
                <w:sz w:val="20"/>
                <w:szCs w:val="20"/>
              </w:rPr>
              <w:t xml:space="preserve">Creative</w:t>
            </w:r>
          </w:p>
        </w:tc>
        <w:tc>
          <w:tcPr>
            <w:tcW w:type="dxa" w:w="3200"/>
          </w:tcPr>
          <w:p>
            <w:pPr>
              <w:spacing w:after="40" w:before="40"/>
            </w:pPr>
            <w:r>
              <w:rPr>
                <w:b w:val="false"/>
                <w:bCs w:val="false"/>
                <w:color w:val="2C3E50"/>
                <w:sz w:val="20"/>
                <w:szCs w:val="20"/>
              </w:rPr>
              <w:t xml:space="preserve">Adobe, Blender, Autodesk, Ableton, Splice, Affinity, SketchUp (9)</w:t>
            </w:r>
          </w:p>
        </w:tc>
        <w:tc>
          <w:tcPr>
            <w:tcW w:type="dxa" w:w="3800"/>
          </w:tcPr>
          <w:p>
            <w:pPr>
              <w:spacing w:after="40" w:before="40"/>
            </w:pPr>
            <w:r>
              <w:rPr>
                <w:b w:val="false"/>
                <w:bCs w:val="false"/>
                <w:color w:val="2C3E50"/>
                <w:sz w:val="20"/>
                <w:szCs w:val="20"/>
              </w:rPr>
              <w:t xml:space="preserve">Creative workflow skills bundled with each connector</w:t>
            </w:r>
          </w:p>
        </w:tc>
      </w:tr>
    </w:tbl>
    <w:p>
      <w:pPr>
        <w:spacing w:after="0"/>
      </w:pPr>
      <w:r>
        <w:br/>
      </w:r>
    </w:p>
    <w:p>
      <w:r>
        <w:t xml:space="preserve"/>
      </w:r>
      <w:r>
        <w:br/>
      </w:r>
    </w:p>
    <w:p>
      <w:pPr>
        <w:pStyle w:val="Heading1"/>
        <w:spacing w:after="150" w:before="300"/>
      </w:pPr>
      <w:r>
        <w:rPr>
          <w:b/>
          <w:bCs/>
          <w:color w:val="1B4F72"/>
        </w:rPr>
        <w:t xml:space="preserve">3. Product-by-Product Analysis</w:t>
      </w:r>
    </w:p>
    <w:p>
      <w:pPr>
        <w:pStyle w:val="Heading2"/>
        <w:spacing w:after="150" w:before="300"/>
      </w:pPr>
      <w:r>
        <w:rPr>
          <w:b/>
          <w:bCs/>
          <w:color w:val="1B4F72"/>
        </w:rPr>
        <w:t xml:space="preserve">3.1 Tomorrow — RUM Hedging &amp; Risk-Based Event Swaps</w:t>
      </w:r>
    </w:p>
    <w:p>
      <w:pPr>
        <w:spacing w:after="120"/>
      </w:pPr>
      <w:r>
        <w:rPr>
          <w:b/>
          <w:bCs/>
          <w:color w:val="2C3E50"/>
          <w:sz w:val="22"/>
          <w:szCs w:val="22"/>
        </w:rPr>
        <w:t xml:space="preserve">What it does: </w:t>
      </w:r>
      <w:r>
        <w:rPr>
          <w:color w:val="2C3E50"/>
          <w:sz w:val="22"/>
          <w:szCs w:val="22"/>
        </w:rPr>
        <w:t xml:space="preserve">A capital markets platform for peer lending/hedging networks. Regime-aware correlation pricing (calm/stress/crisis), network-level capital netting (marginal RWA/SIMM), borrower quotes with proof-of-inferiority savings vs. standalone hedging, and Shapley-value settlement for fair risk-absorption compensation.</w:t>
      </w:r>
    </w:p>
    <w:p>
      <w:pPr>
        <w:pStyle w:val="Heading3"/>
        <w:spacing w:after="150" w:before="300"/>
      </w:pPr>
      <w:r>
        <w:rPr>
          <w:b/>
          <w:bCs/>
          <w:color w:val="1B4F72"/>
        </w:rPr>
        <w:t xml:space="preserve">Competitive Position</w:t>
      </w:r>
    </w:p>
    <w:p>
      <w:pPr>
        <w:spacing w:after="120"/>
      </w:pPr>
      <w:r>
        <w:rPr>
          <w:color w:val="2C3E50"/>
          <w:sz w:val="22"/>
          <w:szCs w:val="22"/>
        </w:rPr>
        <w:t xml:space="preserve">The existing Claude financial services ecosystem covers institutional finance broadly — DCF models, equity research, swap pricing — but nothing addresses OTC peer-network risk management, ECP hedging, or regime-aware RUM specifically. The energy commodity MCP server provides price feeds but no hedging logic. Tomorrow would be the only plugin offering network-level capital optimization with counterparty matching.</w:t>
      </w:r>
    </w:p>
    <w:p>
      <w:pPr>
        <w:spacing w:after="120"/>
      </w:pPr>
      <w:r>
        <w:rPr>
          <w:b/>
          <w:bCs/>
          <w:color w:val="2C3E50"/>
          <w:sz w:val="22"/>
          <w:szCs w:val="22"/>
        </w:rPr>
        <w:t xml:space="preserve">Trigger surface: </w:t>
      </w:r>
      <w:r>
        <w:rPr>
          <w:color w:val="2C3E50"/>
          <w:sz w:val="22"/>
          <w:szCs w:val="22"/>
        </w:rPr>
        <w:t xml:space="preserve">"hedge my energy exposure", "optimize counterparty risk", "capital netting across our book", "RWA optimization", "stress-test my portfolio correlations"</w:t>
      </w:r>
    </w:p>
    <w:p>
      <w:pPr>
        <w:spacing w:after="120"/>
      </w:pPr>
      <w:r>
        <w:rPr>
          <w:b/>
          <w:bCs/>
          <w:color w:val="2C3E50"/>
          <w:sz w:val="22"/>
          <w:szCs w:val="22"/>
        </w:rPr>
        <w:t xml:space="preserve">Competition in ecosystem: </w:t>
      </w:r>
      <w:r>
        <w:rPr>
          <w:color w:val="2C3E50"/>
          <w:sz w:val="22"/>
          <w:szCs w:val="22"/>
        </w:rPr>
        <w:t xml:space="preserve">None. First mover.</w:t>
      </w:r>
    </w:p>
    <w:p>
      <w:pPr>
        <w:spacing w:after="120"/>
      </w:pPr>
      <w:r>
        <w:rPr>
          <w:b/>
          <w:bCs/>
          <w:color w:val="2C3E50"/>
          <w:sz w:val="22"/>
          <w:szCs w:val="22"/>
        </w:rPr>
        <w:t xml:space="preserve">Priority: </w:t>
      </w:r>
      <w:r>
        <w:rPr>
          <w:color w:val="2C3E50"/>
          <w:sz w:val="22"/>
          <w:szCs w:val="22"/>
        </w:rPr>
        <w:t xml:space="preserve">Ship first. Defensible niche, no incumbent, high-value users.</w:t>
      </w:r>
    </w:p>
    <w:p>
      <w:pPr>
        <w:pStyle w:val="Heading3"/>
        <w:spacing w:after="150" w:before="300"/>
      </w:pPr>
      <w:r>
        <w:rPr>
          <w:b/>
          <w:bCs/>
          <w:color w:val="1B4F72"/>
        </w:rPr>
        <w:t xml:space="preserve">Plugin Architecture — Tomorrow</w:t>
      </w:r>
    </w:p>
    <w:p>
      <w:pPr>
        <w:spacing w:after="120"/>
      </w:pPr>
      <w:r>
        <w:rPr>
          <w:color w:val="2C3E50"/>
          <w:sz w:val="22"/>
          <w:szCs w:val="22"/>
        </w:rPr>
        <w:t xml:space="preserve">MCP Tools: quote_hedge (regime, notional, tenor → savings proof), net_capital (portfolio → marginal RWA/SIMM delta), match_counterparty (capacity/credit filters → ranked matches), settle_shapley (trade set → fair-value transfers), market_regime (→ calm/stress/crisis classification with correlation matrix).</w:t>
      </w:r>
    </w:p>
    <w:p>
      <w:pPr>
        <w:spacing w:after="120"/>
      </w:pPr>
      <w:r>
        <w:rPr>
          <w:color w:val="2C3E50"/>
          <w:sz w:val="22"/>
          <w:szCs w:val="22"/>
        </w:rPr>
        <w:t xml:space="preserve">Skills: risk-briefing (daily regime + portfolio exposure summary), hedge-optimizer (iterative hedge construction with constraint solver), network-health (counterparty concentration and credit quality dashboard).</w:t>
      </w:r>
    </w:p>
    <w:p>
      <w:pPr>
        <w:spacing w:after="120"/>
      </w:pPr>
      <w:r>
        <w:rPr>
          <w:color w:val="2C3E50"/>
          <w:sz w:val="22"/>
          <w:szCs w:val="22"/>
        </w:rPr>
        <w:t xml:space="preserve">Data flow: User describes exposure in Claude → Tomorrow plugin prices the hedge → presents savings proof vs. standalone → user approves → execution instruction generated (human-committed, never autonomous).</w:t>
      </w:r>
    </w:p>
    <w:p>
      <w:r>
        <w:br/>
      </w:r>
    </w:p>
    <w:p>
      <w:pPr>
        <w:pStyle w:val="Heading2"/>
        <w:spacing w:after="150" w:before="300"/>
      </w:pPr>
      <w:r>
        <w:rPr>
          <w:b/>
          <w:bCs/>
          <w:color w:val="1B4F72"/>
        </w:rPr>
        <w:t xml:space="preserve">3.2 Apparently — Instant Cross-Vertical Licensing</w:t>
      </w:r>
    </w:p>
    <w:p>
      <w:pPr>
        <w:spacing w:after="120"/>
      </w:pPr>
      <w:r>
        <w:rPr>
          <w:b/>
          <w:bCs/>
          <w:color w:val="2C3E50"/>
          <w:sz w:val="22"/>
          <w:szCs w:val="22"/>
        </w:rPr>
        <w:t xml:space="preserve">What it does: </w:t>
      </w:r>
      <w:r>
        <w:rPr>
          <w:color w:val="2C3E50"/>
          <w:sz w:val="22"/>
          <w:szCs w:val="22"/>
        </w:rPr>
        <w:t xml:space="preserve">A licensing operations platform with self-improving citation verification, automated prompt refinement, and cross-vertical compliance checking. Currently powering legal-content bot infrastructure with dedup-safe self-improvement loops.</w:t>
      </w:r>
    </w:p>
    <w:p>
      <w:pPr>
        <w:pStyle w:val="Heading3"/>
        <w:spacing w:after="150" w:before="300"/>
      </w:pPr>
      <w:r>
        <w:rPr>
          <w:b/>
          <w:bCs/>
          <w:color w:val="1B4F72"/>
        </w:rPr>
        <w:t xml:space="preserve">Competitive Position</w:t>
      </w:r>
    </w:p>
    <w:p>
      <w:pPr>
        <w:spacing w:after="120"/>
      </w:pPr>
      <w:r>
        <w:rPr>
          <w:color w:val="2C3E50"/>
          <w:sz w:val="22"/>
          <w:szCs w:val="22"/>
        </w:rPr>
        <w:t xml:space="preserve">Claude's legal ecosystem (20+ connectors, 12 plugins) covers contract review, NDA triage, and compliance checks — but nothing addresses cross-vertical licensing automation. Existing legal plugins are review-oriented (analyze existing contracts); Apparently is execution-oriented (generate and verify licensing across jurisdictions and verticals simultaneously). The self-improving citation pipeline is a unique technical differentiator.</w:t>
      </w:r>
    </w:p>
    <w:p>
      <w:pPr>
        <w:spacing w:after="120"/>
      </w:pPr>
      <w:r>
        <w:rPr>
          <w:b/>
          <w:bCs/>
          <w:color w:val="2C3E50"/>
          <w:sz w:val="22"/>
          <w:szCs w:val="22"/>
        </w:rPr>
        <w:t xml:space="preserve">Trigger surface: </w:t>
      </w:r>
      <w:r>
        <w:rPr>
          <w:color w:val="2C3E50"/>
          <w:sz w:val="22"/>
          <w:szCs w:val="22"/>
        </w:rPr>
        <w:t xml:space="preserve">"license my software in the EU", "cross-jurisdiction licensing requirements", "instant licensing compliance check", "what licenses do I need for [vertical]", "licensing across multiple states"</w:t>
      </w:r>
    </w:p>
    <w:p>
      <w:pPr>
        <w:spacing w:after="120"/>
      </w:pPr>
      <w:r>
        <w:rPr>
          <w:b/>
          <w:bCs/>
          <w:color w:val="2C3E50"/>
          <w:sz w:val="22"/>
          <w:szCs w:val="22"/>
        </w:rPr>
        <w:t xml:space="preserve">Competition in ecosystem: </w:t>
      </w:r>
      <w:r>
        <w:rPr>
          <w:color w:val="2C3E50"/>
          <w:sz w:val="22"/>
          <w:szCs w:val="22"/>
        </w:rPr>
        <w:t xml:space="preserve">None for instant cross-vertical licensing. Partial overlap with legal:compliance-check skill for regulatory review, but that's advisory, not execution.</w:t>
      </w:r>
    </w:p>
    <w:p>
      <w:pPr>
        <w:spacing w:after="120"/>
      </w:pPr>
      <w:r>
        <w:rPr>
          <w:b/>
          <w:bCs/>
          <w:color w:val="2C3E50"/>
          <w:sz w:val="22"/>
          <w:szCs w:val="22"/>
        </w:rPr>
        <w:t xml:space="preserve">Priority: </w:t>
      </w:r>
      <w:r>
        <w:rPr>
          <w:color w:val="2C3E50"/>
          <w:sz w:val="22"/>
          <w:szCs w:val="22"/>
        </w:rPr>
        <w:t xml:space="preserve">Ship second. Unique value prop, adjacent to Anthropic's own legal vertical (potential partnership angle).</w:t>
      </w:r>
    </w:p>
    <w:p>
      <w:pPr>
        <w:pStyle w:val="Heading3"/>
        <w:spacing w:after="150" w:before="300"/>
      </w:pPr>
      <w:r>
        <w:rPr>
          <w:b/>
          <w:bCs/>
          <w:color w:val="1B4F72"/>
        </w:rPr>
        <w:t xml:space="preserve">Plugin Architecture — Apparently</w:t>
      </w:r>
    </w:p>
    <w:p>
      <w:pPr>
        <w:spacing w:after="120"/>
      </w:pPr>
      <w:r>
        <w:rPr>
          <w:color w:val="2C3E50"/>
          <w:sz w:val="22"/>
          <w:szCs w:val="22"/>
        </w:rPr>
        <w:t xml:space="preserve">MCP Tools: check_requirements (jurisdiction + vertical + product-type → licensing checklist), generate_application (jurisdiction + license-type → pre-filled application package), verify_citations (legal references → validation + freshness check), track_renewals (portfolio → upcoming deadlines + auto-prep).</w:t>
      </w:r>
    </w:p>
    <w:p>
      <w:pPr>
        <w:spacing w:after="120"/>
      </w:pPr>
      <w:r>
        <w:rPr>
          <w:color w:val="2C3E50"/>
          <w:sz w:val="22"/>
          <w:szCs w:val="22"/>
        </w:rPr>
        <w:t xml:space="preserve">Skills: licensing-brief ("what do I need to operate [business] in [jurisdiction]"), compliance-monitor (continuous regulatory change scanning), application-prep (guided application assembly with document generation).</w:t>
      </w:r>
    </w:p>
    <w:p>
      <w:r>
        <w:br/>
      </w:r>
    </w:p>
    <w:p>
      <w:pPr>
        <w:pStyle w:val="Heading2"/>
        <w:spacing w:after="150" w:before="300"/>
      </w:pPr>
      <w:r>
        <w:rPr>
          <w:b/>
          <w:bCs/>
          <w:color w:val="1B4F72"/>
        </w:rPr>
        <w:t xml:space="preserve">3.3 Pareto/2080 — Personal Finance Agent</w:t>
      </w:r>
    </w:p>
    <w:p>
      <w:pPr>
        <w:spacing w:after="120"/>
      </w:pPr>
      <w:r>
        <w:rPr>
          <w:b/>
          <w:bCs/>
          <w:color w:val="2C3E50"/>
          <w:sz w:val="22"/>
          <w:szCs w:val="22"/>
        </w:rPr>
        <w:t xml:space="preserve">What it does: </w:t>
      </w:r>
      <w:r>
        <w:rPr>
          <w:color w:val="2C3E50"/>
          <w:sz w:val="22"/>
          <w:szCs w:val="22"/>
        </w:rPr>
        <w:t xml:space="preserve">A non-custodial, fee-free personal finance agent that continuously benchmarks user rates/products (loans, deposits, insurance, rewards) against an anonymized market surface. Stages one-tap switch/negotiation actions for human approval. Runs RFQ/auction mechanics with providers. Public savings-index growth surface and counterfactual ledger.</w:t>
      </w:r>
    </w:p>
    <w:p>
      <w:pPr>
        <w:pStyle w:val="Heading3"/>
        <w:spacing w:after="150" w:before="300"/>
      </w:pPr>
      <w:r>
        <w:rPr>
          <w:b/>
          <w:bCs/>
          <w:color w:val="1B4F72"/>
        </w:rPr>
        <w:t xml:space="preserve">Competitive Position</w:t>
      </w:r>
    </w:p>
    <w:p>
      <w:pPr>
        <w:spacing w:after="120"/>
      </w:pPr>
      <w:r>
        <w:rPr>
          <w:color w:val="2C3E50"/>
          <w:sz w:val="22"/>
          <w:szCs w:val="22"/>
        </w:rPr>
        <w:t xml:space="preserve">Claude's finance plugins are enterprise-focused (IB, PE, wealth management for advisors). No existing plugin serves consumers directly for rate optimization. The personal finance space in Claude is wide open — users frequently ask Claude about refinancing, insurance shopping, and credit card optimization, but Claude can only give generic advice today. Pareto/2080 would convert those conversations into actionable savings.</w:t>
      </w:r>
    </w:p>
    <w:p>
      <w:pPr>
        <w:spacing w:after="120"/>
      </w:pPr>
      <w:r>
        <w:rPr>
          <w:color w:val="2C3E50"/>
          <w:sz w:val="22"/>
          <w:szCs w:val="22"/>
        </w:rPr>
        <w:t xml:space="preserve">However, this is the most competitive space long-term. Anthropic's own "Claude for Small Business" (QuickBooks, HubSpot connectors) shows they're moving downstream. Plaid, Mint successors, NerdWallet, and fintech aggregators will all eye this space. First-mover matters, but the moat must be the anonymized market surface and the counterfactual ledger — proprietary data assets that improve with scale.</w:t>
      </w:r>
    </w:p>
    <w:p>
      <w:pPr>
        <w:spacing w:after="120"/>
      </w:pPr>
      <w:r>
        <w:rPr>
          <w:b/>
          <w:bCs/>
          <w:color w:val="2C3E50"/>
          <w:sz w:val="22"/>
          <w:szCs w:val="22"/>
        </w:rPr>
        <w:t xml:space="preserve">Trigger surface: </w:t>
      </w:r>
      <w:r>
        <w:rPr>
          <w:color w:val="2C3E50"/>
          <w:sz w:val="22"/>
          <w:szCs w:val="22"/>
        </w:rPr>
        <w:t xml:space="preserve">"should I refinance", "better savings rate", "compare insurance quotes", "am I overpaying for [financial product]", "optimize my credit card rewards", "negotiate my rate" — extremely high volume.</w:t>
      </w:r>
    </w:p>
    <w:p>
      <w:pPr>
        <w:spacing w:after="120"/>
      </w:pPr>
      <w:r>
        <w:rPr>
          <w:b/>
          <w:bCs/>
          <w:color w:val="2C3E50"/>
          <w:sz w:val="22"/>
          <w:szCs w:val="22"/>
        </w:rPr>
        <w:t xml:space="preserve">Competition in ecosystem: </w:t>
      </w:r>
      <w:r>
        <w:rPr>
          <w:color w:val="2C3E50"/>
          <w:sz w:val="22"/>
          <w:szCs w:val="22"/>
        </w:rPr>
        <w:t xml:space="preserve">None today. High future competition risk.</w:t>
      </w:r>
    </w:p>
    <w:p>
      <w:pPr>
        <w:spacing w:after="120"/>
      </w:pPr>
      <w:r>
        <w:rPr>
          <w:b/>
          <w:bCs/>
          <w:color w:val="2C3E50"/>
          <w:sz w:val="22"/>
          <w:szCs w:val="22"/>
        </w:rPr>
        <w:t xml:space="preserve">Priority: </w:t>
      </w:r>
      <w:r>
        <w:rPr>
          <w:color w:val="2C3E50"/>
          <w:sz w:val="22"/>
          <w:szCs w:val="22"/>
        </w:rPr>
        <w:t xml:space="preserve">Launch as volume acquisition funnel. Free tier for benchmarking/advice, paid tier for RFQ execution and one-tap switching.</w:t>
      </w:r>
    </w:p>
    <w:p>
      <w:pPr>
        <w:pStyle w:val="Heading3"/>
        <w:spacing w:after="150" w:before="300"/>
      </w:pPr>
      <w:r>
        <w:rPr>
          <w:b/>
          <w:bCs/>
          <w:color w:val="1B4F72"/>
        </w:rPr>
        <w:t xml:space="preserve">Plugin Architecture — Pareto/2080</w:t>
      </w:r>
    </w:p>
    <w:p>
      <w:pPr>
        <w:spacing w:after="120"/>
      </w:pPr>
      <w:r>
        <w:rPr>
          <w:color w:val="2C3E50"/>
          <w:sz w:val="22"/>
          <w:szCs w:val="22"/>
        </w:rPr>
        <w:t xml:space="preserve">MCP Tools: benchmark_rate (product-type + current-terms → market-surface percentile + top alternatives), run_rfq (product-type + profile → live quotes from providers, human-approved), stage_switch (provider + product → pre-filled application, never auto-submitted), savings_ledger (→ cumulative captured vs. forgone savings), savings_index (→ public anonymized market surface for category).</w:t>
      </w:r>
    </w:p>
    <w:p>
      <w:pPr>
        <w:spacing w:after="120"/>
      </w:pPr>
      <w:r>
        <w:rPr>
          <w:color w:val="2C3E50"/>
          <w:sz w:val="22"/>
          <w:szCs w:val="22"/>
        </w:rPr>
        <w:t xml:space="preserve">Skills: rate-check (quick "am I getting a good deal on X"), annual-review (comprehensive financial product audit), negotiation-script (generates talking points for calling current provider).</w:t>
      </w:r>
    </w:p>
    <w:p>
      <w:r>
        <w:br/>
      </w:r>
    </w:p>
    <w:p>
      <w:pPr>
        <w:pStyle w:val="Heading2"/>
        <w:spacing w:after="150" w:before="300"/>
      </w:pPr>
      <w:r>
        <w:rPr>
          <w:b/>
          <w:bCs/>
          <w:color w:val="1B4F72"/>
        </w:rPr>
        <w:t xml:space="preserve">3.4 Smrter — Optimized Process Flows &amp; Project Management</w:t>
      </w:r>
    </w:p>
    <w:p>
      <w:pPr>
        <w:spacing w:after="120"/>
      </w:pPr>
      <w:r>
        <w:rPr>
          <w:b/>
          <w:bCs/>
          <w:color w:val="2C3E50"/>
          <w:sz w:val="22"/>
          <w:szCs w:val="22"/>
        </w:rPr>
        <w:t xml:space="preserve">What it does: </w:t>
      </w:r>
      <w:r>
        <w:rPr>
          <w:color w:val="2C3E50"/>
          <w:sz w:val="22"/>
          <w:szCs w:val="22"/>
        </w:rPr>
        <w:t xml:space="preserve">An AI-driven operations platform for law firms and knowledge-work teams, organized around a Now/Ask/Approve surface. Automated matter intake, compliance calendar tracking, legacy artifact management, contact/campaign management, and a Mastery Library that captures process knowledge from completed work — with privilege-safe distillation ensuring client confidentiality.</w:t>
      </w:r>
    </w:p>
    <w:p>
      <w:pPr>
        <w:pStyle w:val="Heading3"/>
        <w:spacing w:after="150" w:before="300"/>
      </w:pPr>
      <w:r>
        <w:rPr>
          <w:b/>
          <w:bCs/>
          <w:color w:val="1B4F72"/>
        </w:rPr>
        <w:t xml:space="preserve">The Differentiation Challenge</w:t>
      </w:r>
    </w:p>
    <w:p>
      <w:pPr>
        <w:spacing w:after="120"/>
      </w:pPr>
      <w:r>
        <w:rPr>
          <w:color w:val="2C3E50"/>
          <w:sz w:val="22"/>
          <w:szCs w:val="22"/>
        </w:rPr>
        <w:t xml:space="preserve">Project management is the most saturated vertical in Claude's plugin ecosystem. Asana, Linear, Monday.com, ClickUp, Notion, Jira, Shortcut, Plane, Smartsheet, and Wrike all have official MCP servers. Anthropic's own productivity plugin (installed by default in Cowork) provides task management, memory, and daily digests. Competing head-on as "another project management tool" is not viable.</w:t>
      </w:r>
    </w:p>
    <w:p>
      <w:pPr>
        <w:pStyle w:val="Heading3"/>
        <w:spacing w:after="150" w:before="300"/>
      </w:pPr>
      <w:r>
        <w:rPr>
          <w:b/>
          <w:bCs/>
          <w:color w:val="1B4F72"/>
        </w:rPr>
        <w:t xml:space="preserve">Existing Differentiators</w:t>
      </w:r>
    </w:p>
    <w:p>
      <w:pPr>
        <w:spacing w:after="120"/>
      </w:pPr>
      <w:r>
        <w:rPr>
          <w:b/>
          <w:bCs/>
          <w:color w:val="2C3E50"/>
          <w:sz w:val="22"/>
          <w:szCs w:val="22"/>
        </w:rPr>
        <w:t xml:space="preserve">1. Now/Ask/Approve paradigm: </w:t>
      </w:r>
      <w:r>
        <w:rPr>
          <w:color w:val="2C3E50"/>
          <w:sz w:val="22"/>
          <w:szCs w:val="22"/>
        </w:rPr>
        <w:t xml:space="preserve">Unlike inbox/kanban/timeline PM tools, Smrter's surface is decision-oriented. It doesn't show you a list of tasks — it shows you what needs your attention right now, lets you ask questions about anything, and queues decisions for approval. This is a fundamentally different UX model that maps naturally to Claude's conversational interface.</w:t>
      </w:r>
    </w:p>
    <w:p>
      <w:pPr>
        <w:spacing w:after="120"/>
      </w:pPr>
      <w:r>
        <w:rPr>
          <w:b/>
          <w:bCs/>
          <w:color w:val="2C3E50"/>
          <w:sz w:val="22"/>
          <w:szCs w:val="22"/>
        </w:rPr>
        <w:t xml:space="preserve">2. Mastery Library (process knowledge capture): </w:t>
      </w:r>
      <w:r>
        <w:rPr>
          <w:color w:val="2C3E50"/>
          <w:sz w:val="22"/>
          <w:szCs w:val="22"/>
        </w:rPr>
        <w:t xml:space="preserve">No competing PM plugin captures institutional knowledge from completed work. Asana tracks tasks; Smrter distills how tasks were done into reusable recipes. This is a genuine moat — the library gets more valuable with every completed matter.</w:t>
      </w:r>
    </w:p>
    <w:p>
      <w:pPr>
        <w:spacing w:after="120"/>
      </w:pPr>
      <w:r>
        <w:rPr>
          <w:b/>
          <w:bCs/>
          <w:color w:val="2C3E50"/>
          <w:sz w:val="22"/>
          <w:szCs w:val="22"/>
        </w:rPr>
        <w:t xml:space="preserve">3. Privilege-safe distillation: </w:t>
      </w:r>
      <w:r>
        <w:rPr>
          <w:color w:val="2C3E50"/>
          <w:sz w:val="22"/>
          <w:szCs w:val="22"/>
        </w:rPr>
        <w:t xml:space="preserve">The confidentiality pipeline (redaction before knowledge extraction) is critical for regulated industries. No PM tool in the Claude ecosystem handles privileged information correctly during AI-assisted process optimization.</w:t>
      </w:r>
    </w:p>
    <w:p>
      <w:pPr>
        <w:pStyle w:val="Heading3"/>
        <w:spacing w:after="150" w:before="300"/>
      </w:pPr>
      <w:r>
        <w:rPr>
          <w:b/>
          <w:bCs/>
          <w:color w:val="1B4F72"/>
        </w:rPr>
        <w:t xml:space="preserve">Differentiators with Improvements</w:t>
      </w:r>
    </w:p>
    <w:p>
      <w:pPr>
        <w:spacing w:after="120"/>
      </w:pPr>
      <w:r>
        <w:rPr>
          <w:b/>
          <w:bCs/>
          <w:color w:val="2C3E50"/>
          <w:sz w:val="22"/>
          <w:szCs w:val="22"/>
        </w:rPr>
        <w:t xml:space="preserve">4. Cross-tool orchestration layer: </w:t>
      </w:r>
      <w:r>
        <w:rPr>
          <w:color w:val="2C3E50"/>
          <w:sz w:val="22"/>
          <w:szCs w:val="22"/>
        </w:rPr>
        <w:t xml:space="preserve">Smrter shouldn't compete with Asana — it should sit above it. Position as the orchestration layer that connects a firm's existing PM tool (Asana, Linear, whatever) with their document management, compliance calendar, and knowledge base. The plugin becomes the glue, not a replacement.</w:t>
      </w:r>
    </w:p>
    <w:p>
      <w:pPr>
        <w:spacing w:after="120"/>
      </w:pPr>
      <w:r>
        <w:rPr>
          <w:b/>
          <w:bCs/>
          <w:color w:val="2C3E50"/>
          <w:sz w:val="22"/>
          <w:szCs w:val="22"/>
        </w:rPr>
        <w:t xml:space="preserve">5. Compliance-aware workflow automation: </w:t>
      </w:r>
      <w:r>
        <w:rPr>
          <w:color w:val="2C3E50"/>
          <w:sz w:val="22"/>
          <w:szCs w:val="22"/>
        </w:rPr>
        <w:t xml:space="preserve">Existing PM plugins track what needs to happen. Smrter can track what must happen (regulatory deadlines, filing requirements, audit trails) with automatic escalation when compliance windows are at risk. This is table-stakes for law firms, healthcare, and financial services — and no PM plugin does it.</w:t>
      </w:r>
    </w:p>
    <w:p>
      <w:pPr>
        <w:spacing w:after="120"/>
      </w:pPr>
      <w:r>
        <w:rPr>
          <w:b/>
          <w:bCs/>
          <w:color w:val="2C3E50"/>
          <w:sz w:val="22"/>
          <w:szCs w:val="22"/>
        </w:rPr>
        <w:t xml:space="preserve">6. Process mining from Claude conversations: </w:t>
      </w:r>
      <w:r>
        <w:rPr>
          <w:color w:val="2C3E50"/>
          <w:sz w:val="22"/>
          <w:szCs w:val="22"/>
        </w:rPr>
        <w:t xml:space="preserve">Smrter can observe how users interact with Claude across sessions (with permission) and identify repeated workflows that should be automated. "You've done this intake process 12 times — want me to create a recipe?" No competitor has this feedback loop.</w:t>
      </w:r>
    </w:p>
    <w:p>
      <w:pPr>
        <w:pStyle w:val="Heading3"/>
        <w:spacing w:after="150" w:before="300"/>
      </w:pPr>
      <w:r>
        <w:rPr>
          <w:b/>
          <w:bCs/>
          <w:color w:val="1B4F72"/>
        </w:rPr>
        <w:t xml:space="preserve">Future Differentiators</w:t>
      </w:r>
    </w:p>
    <w:p>
      <w:pPr>
        <w:spacing w:after="120"/>
      </w:pPr>
      <w:r>
        <w:rPr>
          <w:b/>
          <w:bCs/>
          <w:color w:val="2C3E50"/>
          <w:sz w:val="22"/>
          <w:szCs w:val="22"/>
        </w:rPr>
        <w:t xml:space="preserve">7. Multi-firm benchmarking (anonymized): </w:t>
      </w:r>
      <w:r>
        <w:rPr>
          <w:color w:val="2C3E50"/>
          <w:sz w:val="22"/>
          <w:szCs w:val="22"/>
        </w:rPr>
        <w:t xml:space="preserve">Aggregate process efficiency metrics across Smrter-using firms (time-to-close by matter type, intake-to-filing latency). Publish anonymized benchmarks so firms can see where they're slow relative to peers. This creates a network effect — more firms using Smrter = more valuable benchmarks = more firms joining.</w:t>
      </w:r>
    </w:p>
    <w:p>
      <w:pPr>
        <w:spacing w:after="120"/>
      </w:pPr>
      <w:r>
        <w:rPr>
          <w:b/>
          <w:bCs/>
          <w:color w:val="2C3E50"/>
          <w:sz w:val="22"/>
          <w:szCs w:val="22"/>
        </w:rPr>
        <w:t xml:space="preserve">8. Predictive capacity planning: </w:t>
      </w:r>
      <w:r>
        <w:rPr>
          <w:color w:val="2C3E50"/>
          <w:sz w:val="22"/>
          <w:szCs w:val="22"/>
        </w:rPr>
        <w:t xml:space="preserve">Use the Mastery Library's historical data to predict workload based on intake patterns. "Based on the 14 matters opened this week and your historical completion rates, your team will be at 130% capacity in 3 weeks." No PM tool does this with domain-specific historical learning.</w:t>
      </w:r>
    </w:p>
    <w:p>
      <w:pPr>
        <w:spacing w:after="120"/>
      </w:pPr>
      <w:r>
        <w:rPr>
          <w:b/>
          <w:bCs/>
          <w:color w:val="2C3E50"/>
          <w:sz w:val="22"/>
          <w:szCs w:val="22"/>
        </w:rPr>
        <w:t xml:space="preserve">9. Regulatory change propagation: </w:t>
      </w:r>
      <w:r>
        <w:rPr>
          <w:color w:val="2C3E50"/>
          <w:sz w:val="22"/>
          <w:szCs w:val="22"/>
        </w:rPr>
        <w:t xml:space="preserve">When a regulation changes, Smrter can automatically identify which active matters, templates, and recipes are affected and queue updates for review. This turns a reactive scramble into a proactive, managed process.</w:t>
      </w:r>
    </w:p>
    <w:p>
      <w:pPr>
        <w:pStyle w:val="Heading3"/>
        <w:spacing w:after="150" w:before="300"/>
      </w:pPr>
      <w:r>
        <w:rPr>
          <w:b/>
          <w:bCs/>
          <w:color w:val="1B4F72"/>
        </w:rPr>
        <w:t xml:space="preserve">Recommended Positioning</w:t>
      </w:r>
    </w:p>
    <w:p>
      <w:pPr>
        <w:spacing w:after="120"/>
      </w:pPr>
      <w:r>
        <w:rPr>
          <w:color w:val="2C3E50"/>
          <w:sz w:val="22"/>
          <w:szCs w:val="22"/>
        </w:rPr>
        <w:t xml:space="preserve">Don't ship Smrter as a "project management plugin." Ship it as a "practice operations plugin" for regulated knowledge work. The tagline: "The operations layer your PM tool doesn't have." It sits above Asana/Linear/Monday, connects to compliance systems, and builds institutional memory. This avoids direct competition with 10+ established PM plugins and positions Smrter in an unoccupied niche.</w:t>
      </w:r>
    </w:p>
    <w:p>
      <w:r>
        <w:br/>
      </w:r>
    </w:p>
    <w:p>
      <w:pPr>
        <w:pStyle w:val="Heading1"/>
        <w:spacing w:after="150" w:before="300"/>
      </w:pPr>
      <w:r>
        <w:rPr>
          <w:b/>
          <w:bCs/>
          <w:color w:val="1B4F72"/>
        </w:rPr>
        <w:t xml:space="preserve">4. Implementation Roadmap</w:t>
      </w:r>
    </w:p>
    <w:p>
      <w:pPr>
        <w:pStyle w:val="Heading2"/>
        <w:spacing w:after="150" w:before="300"/>
      </w:pPr>
      <w:r>
        <w:rPr>
          <w:b/>
          <w:bCs/>
          <w:color w:val="1B4F72"/>
        </w:rPr>
        <w:t xml:space="preserve">Phase 1: Foundation (Weeks 1-4)</w:t>
      </w:r>
    </w:p>
    <w:p>
      <w:pPr>
        <w:spacing w:after="120"/>
      </w:pPr>
      <w:r>
        <w:rPr>
          <w:color w:val="2C3E50"/>
          <w:sz w:val="22"/>
          <w:szCs w:val="22"/>
        </w:rPr>
        <w:t xml:space="preserve">Build the shared MCP server infrastructure. Each product needs a remote MCP server (Streamable HTTP or SSE transport) with OAuth 2.0 authentication, tool annotations (readOnlyHint/destructiveHint), and proper error handling. Use the shared patterns from claude-orchestrator's existing fleet infrastructure.</w:t>
      </w:r>
    </w:p>
    <w:p>
      <w:pPr>
        <w:pStyle w:val="Heading2"/>
        <w:spacing w:after="150" w:before="300"/>
      </w:pPr>
      <w:r>
        <w:rPr>
          <w:b/>
          <w:bCs/>
          <w:color w:val="1B4F72"/>
        </w:rPr>
        <w:t xml:space="preserve">Phase 2: Tomorrow Plugin (Weeks 3-8)</w:t>
      </w:r>
    </w:p>
    <w:p>
      <w:pPr>
        <w:spacing w:after="120"/>
      </w:pPr>
      <w:r>
        <w:rPr>
          <w:color w:val="2C3E50"/>
          <w:sz w:val="22"/>
          <w:szCs w:val="22"/>
        </w:rPr>
        <w:t xml:space="preserve">Ship the Tomorrow plugin first. Start with 3-5 core tools (quote_hedge, net_capital, market_regime). Submit to the Connectors Directory. Target the energy/commodities vertical where there's zero competition. The regime-aware pricing is the demo-worthy feature — it's visually compelling in Claude's conversational interface.</w:t>
      </w:r>
    </w:p>
    <w:p>
      <w:pPr>
        <w:pStyle w:val="Heading2"/>
        <w:spacing w:after="150" w:before="300"/>
      </w:pPr>
      <w:r>
        <w:rPr>
          <w:b/>
          <w:bCs/>
          <w:color w:val="1B4F72"/>
        </w:rPr>
        <w:t xml:space="preserve">Phase 3: Apparently Plugin (Weeks 6-12)</w:t>
      </w:r>
    </w:p>
    <w:p>
      <w:pPr>
        <w:spacing w:after="120"/>
      </w:pPr>
      <w:r>
        <w:rPr>
          <w:color w:val="2C3E50"/>
          <w:sz w:val="22"/>
          <w:szCs w:val="22"/>
        </w:rPr>
        <w:t xml:space="preserve">Ship Apparently second. Lean into the adjacency with Anthropic's own legal vertical — the 20+ legal connectors are potential integration points (DocuSign for execution, Ironclad for contract management). Position as complementary, not competing.</w:t>
      </w:r>
    </w:p>
    <w:p>
      <w:pPr>
        <w:pStyle w:val="Heading2"/>
        <w:spacing w:after="150" w:before="300"/>
      </w:pPr>
      <w:r>
        <w:rPr>
          <w:b/>
          <w:bCs/>
          <w:color w:val="1B4F72"/>
        </w:rPr>
        <w:t xml:space="preserve">Phase 4: Pareto/2080 Plugin (Weeks 8-14)</w:t>
      </w:r>
    </w:p>
    <w:p>
      <w:pPr>
        <w:spacing w:after="120"/>
      </w:pPr>
      <w:r>
        <w:rPr>
          <w:color w:val="2C3E50"/>
          <w:sz w:val="22"/>
          <w:szCs w:val="22"/>
        </w:rPr>
        <w:t xml:space="preserve">Ship Pareto/2080 as the consumer play. Free tier (rate benchmarking, advice) drives volume. Paid tier (RFQ execution, one-tap switching) drives revenue. The savings index becomes the public marketing surface.</w:t>
      </w:r>
    </w:p>
    <w:p>
      <w:pPr>
        <w:pStyle w:val="Heading2"/>
        <w:spacing w:after="150" w:before="300"/>
      </w:pPr>
      <w:r>
        <w:rPr>
          <w:b/>
          <w:bCs/>
          <w:color w:val="1B4F72"/>
        </w:rPr>
        <w:t xml:space="preserve">Phase 5: Smrter Plugin (Weeks 12-18)</w:t>
      </w:r>
    </w:p>
    <w:p>
      <w:pPr>
        <w:spacing w:after="120"/>
      </w:pPr>
      <w:r>
        <w:rPr>
          <w:color w:val="2C3E50"/>
          <w:sz w:val="22"/>
          <w:szCs w:val="22"/>
        </w:rPr>
        <w:t xml:space="preserve">Ship Smrter last, positioned as practice operations (not PM). Launch with Mastery Library + compliance calendar as the hero features. Requires the most careful positioning to avoid the "just another PM tool" perception.</w:t>
      </w:r>
    </w:p>
    <w:p>
      <w:r>
        <w:br/>
      </w:r>
    </w:p>
    <w:p>
      <w:pPr>
        <w:pStyle w:val="Heading1"/>
        <w:spacing w:after="150" w:before="300"/>
      </w:pPr>
      <w:r>
        <w:rPr>
          <w:b/>
          <w:bCs/>
          <w:color w:val="1B4F72"/>
        </w:rPr>
        <w:t xml:space="preserve">5. Revenue Model</w:t>
      </w:r>
    </w:p>
    <w:p>
      <w:pPr>
        <w:spacing w:after="120"/>
      </w:pPr>
      <w:r>
        <w:rPr>
          <w:color w:val="2C3E50"/>
          <w:sz w:val="22"/>
          <w:szCs w:val="22"/>
        </w:rPr>
        <w:t xml:space="preserve">Given Anthropic's current no-revenue-share model, revenue flows through the connected service, not through Anthropic's cut. This means: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200"/>
      </w:tblGrid>
      <w:tr>
        <w:tc>
          <w:tcPr>
            <w:tcW w:type="dxa" w:w="2200"/>
            <w:shd w:fill="1B4F72" w:val="clear"/>
          </w:tcPr>
          <w:p>
            <w:pPr>
              <w:spacing w:after="40" w:before="40"/>
            </w:pPr>
            <w:r>
              <w:rPr>
                <w:b/>
                <w:bCs/>
                <w:color w:val="FFFFFF"/>
                <w:sz w:val="20"/>
                <w:szCs w:val="20"/>
              </w:rPr>
              <w:t xml:space="preserve">Product</w:t>
            </w:r>
          </w:p>
        </w:tc>
        <w:tc>
          <w:tcPr>
            <w:tcW w:type="dxa" w:w="2800"/>
            <w:shd w:fill="1B4F72" w:val="clear"/>
          </w:tcPr>
          <w:p>
            <w:pPr>
              <w:spacing w:after="40" w:before="40"/>
            </w:pPr>
            <w:r>
              <w:rPr>
                <w:b/>
                <w:bCs/>
                <w:color w:val="FFFFFF"/>
                <w:sz w:val="20"/>
                <w:szCs w:val="20"/>
              </w:rPr>
              <w:t xml:space="preserve">Free Tier</w:t>
            </w:r>
          </w:p>
        </w:tc>
        <w:tc>
          <w:tcPr>
            <w:tcW w:type="dxa" w:w="2200"/>
            <w:shd w:fill="1B4F72" w:val="clear"/>
          </w:tcPr>
          <w:p>
            <w:pPr>
              <w:spacing w:after="40" w:before="40"/>
            </w:pPr>
            <w:r>
              <w:rPr>
                <w:b/>
                <w:bCs/>
                <w:color w:val="FFFFFF"/>
                <w:sz w:val="20"/>
                <w:szCs w:val="20"/>
              </w:rPr>
              <w:t xml:space="preserve">Paid Trigger</w:t>
            </w:r>
          </w:p>
        </w:tc>
        <w:tc>
          <w:tcPr>
            <w:tcW w:type="dxa" w:w="2200"/>
            <w:shd w:fill="1B4F72" w:val="clear"/>
          </w:tcPr>
          <w:p>
            <w:pPr>
              <w:spacing w:after="40" w:before="40"/>
            </w:pPr>
            <w:r>
              <w:rPr>
                <w:b/>
                <w:bCs/>
                <w:color w:val="FFFFFF"/>
                <w:sz w:val="20"/>
                <w:szCs w:val="20"/>
              </w:rPr>
              <w:t xml:space="preserve">Model</w:t>
            </w:r>
          </w:p>
        </w:tc>
      </w:tr>
      <w:tr>
        <w:tc>
          <w:tcPr>
            <w:tcW w:type="dxa" w:w="2200"/>
            <w:shd w:fill="EBF5FB" w:val="clear"/>
          </w:tcPr>
          <w:p>
            <w:pPr>
              <w:spacing w:after="40" w:before="40"/>
            </w:pPr>
            <w:r>
              <w:rPr>
                <w:b w:val="false"/>
                <w:bCs w:val="false"/>
                <w:color w:val="2C3E50"/>
                <w:sz w:val="20"/>
                <w:szCs w:val="20"/>
              </w:rPr>
              <w:t xml:space="preserve">Tomorrow</w:t>
            </w:r>
          </w:p>
        </w:tc>
        <w:tc>
          <w:tcPr>
            <w:tcW w:type="dxa" w:w="2800"/>
          </w:tcPr>
          <w:p>
            <w:pPr>
              <w:spacing w:after="40" w:before="40"/>
            </w:pPr>
            <w:r>
              <w:rPr>
                <w:b w:val="false"/>
                <w:bCs w:val="false"/>
                <w:color w:val="2C3E50"/>
                <w:sz w:val="20"/>
                <w:szCs w:val="20"/>
              </w:rPr>
              <w:t xml:space="preserve">Market regime view, basic exposure analysis</w:t>
            </w:r>
          </w:p>
        </w:tc>
        <w:tc>
          <w:tcPr>
            <w:tcW w:type="dxa" w:w="2200"/>
          </w:tcPr>
          <w:p>
            <w:pPr>
              <w:spacing w:after="40" w:before="40"/>
            </w:pPr>
            <w:r>
              <w:rPr>
                <w:b w:val="false"/>
                <w:bCs w:val="false"/>
                <w:color w:val="2C3E50"/>
                <w:sz w:val="20"/>
                <w:szCs w:val="20"/>
              </w:rPr>
              <w:t xml:space="preserve">Quote generation, counterparty matching</w:t>
            </w:r>
          </w:p>
        </w:tc>
        <w:tc>
          <w:tcPr>
            <w:tcW w:type="dxa" w:w="2200"/>
          </w:tcPr>
          <w:p>
            <w:pPr>
              <w:spacing w:after="40" w:before="40"/>
            </w:pPr>
            <w:r>
              <w:rPr>
                <w:b w:val="false"/>
                <w:bCs w:val="false"/>
                <w:color w:val="2C3E50"/>
                <w:sz w:val="20"/>
                <w:szCs w:val="20"/>
              </w:rPr>
              <w:t xml:space="preserve">Per-trade basis points</w:t>
            </w:r>
          </w:p>
        </w:tc>
      </w:tr>
      <w:tr>
        <w:tc>
          <w:tcPr>
            <w:tcW w:type="dxa" w:w="2200"/>
          </w:tcPr>
          <w:p>
            <w:pPr>
              <w:spacing w:after="40" w:before="40"/>
            </w:pPr>
            <w:r>
              <w:rPr>
                <w:b w:val="false"/>
                <w:bCs w:val="false"/>
                <w:color w:val="2C3E50"/>
                <w:sz w:val="20"/>
                <w:szCs w:val="20"/>
              </w:rPr>
              <w:t xml:space="preserve">Apparently</w:t>
            </w:r>
          </w:p>
        </w:tc>
        <w:tc>
          <w:tcPr>
            <w:tcW w:type="dxa" w:w="2800"/>
          </w:tcPr>
          <w:p>
            <w:pPr>
              <w:spacing w:after="40" w:before="40"/>
            </w:pPr>
            <w:r>
              <w:rPr>
                <w:b w:val="false"/>
                <w:bCs w:val="false"/>
                <w:color w:val="2C3E50"/>
                <w:sz w:val="20"/>
                <w:szCs w:val="20"/>
              </w:rPr>
              <w:t xml:space="preserve">Requirements lookup, basic compliance check</w:t>
            </w:r>
          </w:p>
        </w:tc>
        <w:tc>
          <w:tcPr>
            <w:tcW w:type="dxa" w:w="2200"/>
          </w:tcPr>
          <w:p>
            <w:pPr>
              <w:spacing w:after="40" w:before="40"/>
            </w:pPr>
            <w:r>
              <w:rPr>
                <w:b w:val="false"/>
                <w:bCs w:val="false"/>
                <w:color w:val="2C3E50"/>
                <w:sz w:val="20"/>
                <w:szCs w:val="20"/>
              </w:rPr>
              <w:t xml:space="preserve">Application generation, renewal tracking</w:t>
            </w:r>
          </w:p>
        </w:tc>
        <w:tc>
          <w:tcPr>
            <w:tcW w:type="dxa" w:w="2200"/>
          </w:tcPr>
          <w:p>
            <w:pPr>
              <w:spacing w:after="40" w:before="40"/>
            </w:pPr>
            <w:r>
              <w:rPr>
                <w:b w:val="false"/>
                <w:bCs w:val="false"/>
                <w:color w:val="2C3E50"/>
                <w:sz w:val="20"/>
                <w:szCs w:val="20"/>
              </w:rPr>
              <w:t xml:space="preserve">Per-application + annual subscription</w:t>
            </w:r>
          </w:p>
        </w:tc>
      </w:tr>
      <w:tr>
        <w:tc>
          <w:tcPr>
            <w:tcW w:type="dxa" w:w="2200"/>
            <w:shd w:fill="EBF5FB" w:val="clear"/>
          </w:tcPr>
          <w:p>
            <w:pPr>
              <w:spacing w:after="40" w:before="40"/>
            </w:pPr>
            <w:r>
              <w:rPr>
                <w:b w:val="false"/>
                <w:bCs w:val="false"/>
                <w:color w:val="2C3E50"/>
                <w:sz w:val="20"/>
                <w:szCs w:val="20"/>
              </w:rPr>
              <w:t xml:space="preserve">Pareto/2080</w:t>
            </w:r>
          </w:p>
        </w:tc>
        <w:tc>
          <w:tcPr>
            <w:tcW w:type="dxa" w:w="2800"/>
          </w:tcPr>
          <w:p>
            <w:pPr>
              <w:spacing w:after="40" w:before="40"/>
            </w:pPr>
            <w:r>
              <w:rPr>
                <w:b w:val="false"/>
                <w:bCs w:val="false"/>
                <w:color w:val="2C3E50"/>
                <w:sz w:val="20"/>
                <w:szCs w:val="20"/>
              </w:rPr>
              <w:t xml:space="preserve">Rate benchmarking, savings estimate</w:t>
            </w:r>
          </w:p>
        </w:tc>
        <w:tc>
          <w:tcPr>
            <w:tcW w:type="dxa" w:w="2200"/>
          </w:tcPr>
          <w:p>
            <w:pPr>
              <w:spacing w:after="40" w:before="40"/>
            </w:pPr>
            <w:r>
              <w:rPr>
                <w:b w:val="false"/>
                <w:bCs w:val="false"/>
                <w:color w:val="2C3E50"/>
                <w:sz w:val="20"/>
                <w:szCs w:val="20"/>
              </w:rPr>
              <w:t xml:space="preserve">RFQ execution, one-tap switch, ledger</w:t>
            </w:r>
          </w:p>
        </w:tc>
        <w:tc>
          <w:tcPr>
            <w:tcW w:type="dxa" w:w="2200"/>
          </w:tcPr>
          <w:p>
            <w:pPr>
              <w:spacing w:after="40" w:before="40"/>
            </w:pPr>
            <w:r>
              <w:rPr>
                <w:b w:val="false"/>
                <w:bCs w:val="false"/>
                <w:color w:val="2C3E50"/>
                <w:sz w:val="20"/>
                <w:szCs w:val="20"/>
              </w:rPr>
              <w:t xml:space="preserve">Free (provider-funded RFQ fees)</w:t>
            </w:r>
          </w:p>
        </w:tc>
      </w:tr>
      <w:tr>
        <w:tc>
          <w:tcPr>
            <w:tcW w:type="dxa" w:w="2200"/>
          </w:tcPr>
          <w:p>
            <w:pPr>
              <w:spacing w:after="40" w:before="40"/>
            </w:pPr>
            <w:r>
              <w:rPr>
                <w:b w:val="false"/>
                <w:bCs w:val="false"/>
                <w:color w:val="2C3E50"/>
                <w:sz w:val="20"/>
                <w:szCs w:val="20"/>
              </w:rPr>
              <w:t xml:space="preserve">Smrter</w:t>
            </w:r>
          </w:p>
        </w:tc>
        <w:tc>
          <w:tcPr>
            <w:tcW w:type="dxa" w:w="2800"/>
          </w:tcPr>
          <w:p>
            <w:pPr>
              <w:spacing w:after="40" w:before="40"/>
            </w:pPr>
            <w:r>
              <w:rPr>
                <w:b w:val="false"/>
                <w:bCs w:val="false"/>
                <w:color w:val="2C3E50"/>
                <w:sz w:val="20"/>
                <w:szCs w:val="20"/>
              </w:rPr>
              <w:t xml:space="preserve">Now/Ask surface, basic compliance calendar</w:t>
            </w:r>
          </w:p>
        </w:tc>
        <w:tc>
          <w:tcPr>
            <w:tcW w:type="dxa" w:w="2200"/>
          </w:tcPr>
          <w:p>
            <w:pPr>
              <w:spacing w:after="40" w:before="40"/>
            </w:pPr>
            <w:r>
              <w:rPr>
                <w:b w:val="false"/>
                <w:bCs w:val="false"/>
                <w:color w:val="2C3E50"/>
                <w:sz w:val="20"/>
                <w:szCs w:val="20"/>
              </w:rPr>
              <w:t xml:space="preserve">Mastery Library, process mining, benchmarks</w:t>
            </w:r>
          </w:p>
        </w:tc>
        <w:tc>
          <w:tcPr>
            <w:tcW w:type="dxa" w:w="2200"/>
          </w:tcPr>
          <w:p>
            <w:pPr>
              <w:spacing w:after="40" w:before="40"/>
            </w:pPr>
            <w:r>
              <w:rPr>
                <w:b w:val="false"/>
                <w:bCs w:val="false"/>
                <w:color w:val="2C3E50"/>
                <w:sz w:val="20"/>
                <w:szCs w:val="20"/>
              </w:rPr>
              <w:t xml:space="preserve">Per-seat monthly subscription</w:t>
            </w:r>
          </w:p>
        </w:tc>
      </w:tr>
    </w:tbl>
    <w:p>
      <w:r>
        <w:br/>
      </w:r>
    </w:p>
    <w:p>
      <w:pPr>
        <w:pStyle w:val="Heading1"/>
        <w:spacing w:after="150" w:before="300"/>
      </w:pPr>
      <w:r>
        <w:rPr>
          <w:b/>
          <w:bCs/>
          <w:color w:val="1B4F72"/>
        </w:rPr>
        <w:t xml:space="preserve">6. Key Risks &amp; Mitigations</w:t>
      </w:r>
    </w:p>
    <w:p>
      <w:pPr>
        <w:spacing w:after="120"/>
      </w:pPr>
      <w:r>
        <w:rPr>
          <w:b/>
          <w:bCs/>
          <w:color w:val="2C3E50"/>
          <w:sz w:val="22"/>
          <w:szCs w:val="22"/>
        </w:rPr>
        <w:t xml:space="preserve">Anthropic platform risk: </w:t>
      </w:r>
      <w:r>
        <w:rPr>
          <w:color w:val="2C3E50"/>
          <w:sz w:val="22"/>
          <w:szCs w:val="22"/>
        </w:rPr>
        <w:t xml:space="preserve">Anthropic controls discovery, ranking, and review. Mitigation: build direct user relationships through the product's own surfaces (savings index, Mastery Library, network dashboard) so the plugin is a channel, not the entire business.</w:t>
      </w:r>
    </w:p>
    <w:p>
      <w:pPr>
        <w:spacing w:after="120"/>
      </w:pPr>
      <w:r>
        <w:rPr>
          <w:b/>
          <w:bCs/>
          <w:color w:val="2C3E50"/>
          <w:sz w:val="22"/>
          <w:szCs w:val="22"/>
        </w:rPr>
        <w:t xml:space="preserve">Review timeline uncertainty: </w:t>
      </w:r>
      <w:r>
        <w:rPr>
          <w:color w:val="2C3E50"/>
          <w:sz w:val="22"/>
          <w:szCs w:val="22"/>
        </w:rPr>
        <w:t xml:space="preserve">Connector directory review ranges from 2 weeks to months. Mitigation: submit Tomorrow first (simplest regulatory profile); use the waiting period to polish subsequent submissions.</w:t>
      </w:r>
    </w:p>
    <w:p>
      <w:pPr>
        <w:spacing w:after="120"/>
      </w:pPr>
      <w:r>
        <w:rPr>
          <w:b/>
          <w:bCs/>
          <w:color w:val="2C3E50"/>
          <w:sz w:val="22"/>
          <w:szCs w:val="22"/>
        </w:rPr>
        <w:t xml:space="preserve">Monetization model instability: </w:t>
      </w:r>
      <w:r>
        <w:rPr>
          <w:color w:val="2C3E50"/>
          <w:sz w:val="22"/>
          <w:szCs w:val="22"/>
        </w:rPr>
        <w:t xml:space="preserve">The reversed billing split shows Anthropic is still figuring out third-party economics. Mitigation: design for service-side billing from day one. If Anthropic introduces revenue sharing later, it's upside.</w:t>
      </w:r>
    </w:p>
    <w:p>
      <w:pPr>
        <w:spacing w:after="120"/>
      </w:pPr>
      <w:r>
        <w:rPr>
          <w:b/>
          <w:bCs/>
          <w:color w:val="2C3E50"/>
          <w:sz w:val="22"/>
          <w:szCs w:val="22"/>
        </w:rPr>
        <w:t xml:space="preserve">Data sensitivity: </w:t>
      </w:r>
      <w:r>
        <w:rPr>
          <w:color w:val="2C3E50"/>
          <w:sz w:val="22"/>
          <w:szCs w:val="22"/>
        </w:rPr>
        <w:t xml:space="preserve">All four products handle sensitive data (financial positions, legal matters, personal finance). Mitigation: the MCP connector model is inherently secure — data flows through authenticated APIs, never through Claude's training. Smrter's privilege-safe distillation pipeline is already designed for this.</w:t>
      </w:r>
    </w:p>
    <w:p>
      <w:r>
        <w:br/>
      </w:r>
    </w:p>
    <w:p>
      <w:pPr>
        <w:pStyle w:val="Heading1"/>
        <w:spacing w:after="150" w:before="300"/>
      </w:pPr>
      <w:r>
        <w:rPr>
          <w:b/>
          <w:bCs/>
          <w:color w:val="1B4F72"/>
        </w:rPr>
        <w:t xml:space="preserve">7. Recommendation</w:t>
      </w:r>
    </w:p>
    <w:p>
      <w:pPr>
        <w:spacing w:after="120"/>
      </w:pPr>
      <w:r>
        <w:rPr>
          <w:color w:val="2C3E50"/>
          <w:sz w:val="22"/>
          <w:szCs w:val="22"/>
        </w:rPr>
        <w:t xml:space="preserve">Ship Tomorrow and Apparently as Claude plugins immediately — they occupy uncontested niches in a marketplace that's growing rapidly but hasn't yet seen specialized capital-markets or licensing tools. Use Pareto/2080 as the consumer volume play. Reposition Smrter as practice operations infrastructure rather than project management, and ship it once the positioning is sharp enough to avoid the PM plugin graveyard.</w:t>
      </w:r>
    </w:p>
    <w:p>
      <w:pPr>
        <w:spacing w:after="120"/>
      </w:pPr>
      <w:r>
        <w:rPr>
          <w:color w:val="2C3E50"/>
          <w:sz w:val="22"/>
          <w:szCs w:val="22"/>
        </w:rPr>
        <w:t xml:space="preserve">The Anthropic plugin ecosystem is at the same inflection point the iOS App Store was in 2009 — early movers in unoccupied verticals build lasting advantages. The infrastructure (MCP, OAuth, marketplace discovery) is mature enough to build on. The economics (no revenue share yet) favor products that monetize through their own service rather than through platform fees. All four products are well-positioned for this model.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CONFIDENTIAL — Beethoven Portfolio × Anthropic Plugin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2026-07-10T15:29:30.269Z</dcterms:created>
  <dcterms:modified xsi:type="dcterms:W3CDTF">2026-07-10T15:29:30.269Z</dcterms:modified>
</cp:coreProperties>
</file>

<file path=docProps/custom.xml><?xml version="1.0" encoding="utf-8"?>
<Properties xmlns="http://schemas.openxmlformats.org/officeDocument/2006/custom-properties" xmlns:vt="http://schemas.openxmlformats.org/officeDocument/2006/docPropsVTypes"/>
</file>