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echnology-stack-template"/>
    <w:p>
      <w:pPr>
        <w:pStyle w:val="Heading1"/>
      </w:pPr>
      <w:r>
        <w:t xml:space="preserve">Technology Stack Template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 using BiLSTM, BERT &amp; Gemini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 /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web dashboard for student input and results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application logic and orchestration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Deep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TensorFlow, Keras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 and running the BiLSTM emotion classification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NLP (Preprocessing)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cleaning, tokenization, and preprocessing of student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Transformer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Hugging Face BERT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Transformer-based emotion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Generative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Generating personalized learning guidance based on detected emotion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Plotly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Analytics dashboard and emotion trend charts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Emotion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and evaluation data for emotion classifiers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Pandas, 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manipulation and numerical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Supporting ML utilities (metrics, splitting, preprocessing helpers)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Persisting interaction history and predictions</w:t>
            </w:r>
          </w:p>
        </w:tc>
      </w:tr>
    </w:tbl>
    <w:bookmarkStart w:id="20" w:name="justification-for-key-choices"/>
    <w:p>
      <w:pPr>
        <w:pStyle w:val="Heading2"/>
      </w:pPr>
      <w:r>
        <w:t xml:space="preserve">Justification for Key Choices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BiLSTM + BERT (dual-model approach):</w:t>
      </w:r>
      <w:r>
        <w:t xml:space="preserve"> </w:t>
      </w:r>
      <w:r>
        <w:t xml:space="preserve">provides both a lightweight sequence-based model (BiLSTM) and a context-rich transformer model (BERT) so predictions can be cross-validated via confidence scoring and mixed-emotion detection.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Gemini AI:</w:t>
      </w:r>
      <w:r>
        <w:t xml:space="preserve"> </w:t>
      </w:r>
      <w:r>
        <w:t xml:space="preserve">used specifically for the generative guidance layer, translating a detected emotion label into natural-language, personalized learning support.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Streamlit:</w:t>
      </w:r>
      <w:r>
        <w:t xml:space="preserve"> </w:t>
      </w:r>
      <w:r>
        <w:t xml:space="preserve">chosen for rapid development of an interactive, data-driven front end without a separate frontend framework.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Plotly:</w:t>
      </w:r>
      <w:r>
        <w:t xml:space="preserve"> </w:t>
      </w:r>
      <w:r>
        <w:t xml:space="preserve">enables interactive analytics visualizations directly within the Streamlit dashboard.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2026-07-05T18:07:43Z</dcterms:created>
  <dcterms:modified xsi:type="dcterms:W3CDTF">2026-07-05T18:07:43Z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