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275B5"/>
    <w:p w14:paraId="6DDA592C">
      <w:pPr>
        <w:jc w:val="center"/>
        <w:rPr>
          <w:rFonts w:ascii="宋体"/>
          <w:b/>
          <w:sz w:val="44"/>
        </w:rPr>
      </w:pPr>
    </w:p>
    <w:p w14:paraId="6C9BE491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339C8AFC">
      <w:pPr>
        <w:rPr>
          <w:b/>
          <w:sz w:val="28"/>
        </w:rPr>
      </w:pPr>
    </w:p>
    <w:p w14:paraId="178CA636">
      <w:pPr>
        <w:rPr>
          <w:b/>
          <w:sz w:val="28"/>
        </w:rPr>
      </w:pPr>
    </w:p>
    <w:p w14:paraId="09D13618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计算机图形学   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3A14ED58">
      <w:pPr>
        <w:rPr>
          <w:b/>
          <w:sz w:val="28"/>
        </w:rPr>
      </w:pPr>
    </w:p>
    <w:p w14:paraId="4FE20C67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实验四  带纹理的OBJ文件读取和显示 </w:t>
      </w:r>
    </w:p>
    <w:p w14:paraId="2E02B78A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9480718"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</w:t>
      </w:r>
    </w:p>
    <w:p w14:paraId="1B44F505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F78775D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计算机科学与技术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</w:rPr>
        <w:t xml:space="preserve">  </w:t>
      </w:r>
    </w:p>
    <w:p w14:paraId="0B880D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D7F3046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周虹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</w:t>
      </w:r>
    </w:p>
    <w:p w14:paraId="136BF162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F17EB22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杨迦勒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/>
          <w:b/>
          <w:sz w:val="28"/>
          <w:u w:val="single"/>
          <w:lang w:val="en-US" w:eastAsia="zh-CN"/>
        </w:rPr>
        <w:t>2023150016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04  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 xml:space="preserve"> </w:t>
      </w:r>
    </w:p>
    <w:p w14:paraId="43A4497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0A383CC">
      <w:pPr>
        <w:rPr>
          <w:rFonts w:hint="default" w:eastAsia="宋体"/>
          <w:b/>
          <w:sz w:val="28"/>
          <w:lang w:val="en-US" w:eastAsia="zh-CN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b/>
          <w:bCs/>
          <w:color w:val="000000"/>
          <w:sz w:val="28"/>
          <w:szCs w:val="28"/>
          <w:u w:val="single"/>
        </w:rPr>
        <w:t>202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 xml:space="preserve">年 </w:t>
      </w:r>
      <w:r>
        <w:rPr>
          <w:rFonts w:cs="宋体"/>
          <w:b/>
          <w:bCs/>
          <w:color w:val="000000"/>
          <w:sz w:val="28"/>
          <w:szCs w:val="28"/>
          <w:u w:val="single"/>
        </w:rPr>
        <w:t>11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 xml:space="preserve">月24日 </w:t>
      </w:r>
      <w:r>
        <w:rPr>
          <w:b/>
          <w:bCs/>
          <w:color w:val="000000"/>
          <w:sz w:val="28"/>
          <w:szCs w:val="28"/>
          <w:u w:val="single"/>
        </w:rPr>
        <w:t>-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-</w:t>
      </w:r>
      <w:r>
        <w:rPr>
          <w:b/>
          <w:bCs/>
          <w:color w:val="000000"/>
          <w:sz w:val="28"/>
          <w:szCs w:val="28"/>
          <w:u w:val="single"/>
        </w:rPr>
        <w:t xml:space="preserve">  202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 xml:space="preserve">年 </w:t>
      </w:r>
      <w:r>
        <w:rPr>
          <w:rFonts w:cs="宋体"/>
          <w:b/>
          <w:bCs/>
          <w:color w:val="000000"/>
          <w:sz w:val="28"/>
          <w:szCs w:val="28"/>
          <w:u w:val="single"/>
        </w:rPr>
        <w:t>12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月07 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  </w:t>
      </w:r>
    </w:p>
    <w:p w14:paraId="6C03DE9B">
      <w:pPr>
        <w:rPr>
          <w:b/>
          <w:sz w:val="28"/>
        </w:rPr>
      </w:pPr>
    </w:p>
    <w:p w14:paraId="6B7FD4AB">
      <w:pPr>
        <w:ind w:left="899" w:hanging="900" w:hangingChars="320"/>
        <w:rPr>
          <w:rFonts w:hint="default" w:eastAsia="宋体"/>
          <w:b/>
          <w:sz w:val="44"/>
          <w:lang w:val="en-US" w:eastAsia="zh-CN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2025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12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日 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</w:t>
      </w:r>
    </w:p>
    <w:p w14:paraId="220EA7C6">
      <w:pPr>
        <w:jc w:val="center"/>
        <w:rPr>
          <w:b/>
          <w:sz w:val="44"/>
        </w:rPr>
      </w:pPr>
    </w:p>
    <w:p w14:paraId="27470FF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3C4A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</w:tcPr>
          <w:p w14:paraId="63BA5903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实验目的与要求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1B9869E4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了解三维曲面和纹理映基本知识</w:t>
            </w:r>
          </w:p>
          <w:p w14:paraId="4123010E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了解从图片文件载入纹理数据基本步骤</w:t>
            </w:r>
          </w:p>
          <w:p w14:paraId="76EC5CE2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掌握三维曲面绘制过程中纹理坐标和几何坐标的使用</w:t>
            </w:r>
          </w:p>
          <w:p w14:paraId="06FB89E7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</w:rPr>
              <w:t>在程序中读取带纹理的obj文件，载入相应的纹理图片文件，将带纹理的模型显示在程序窗口中。</w:t>
            </w:r>
          </w:p>
          <w:p w14:paraId="7204C6C7">
            <w:pPr>
              <w:ind w:left="420"/>
              <w:rPr>
                <w:szCs w:val="21"/>
              </w:rPr>
            </w:pPr>
          </w:p>
        </w:tc>
      </w:tr>
      <w:tr w14:paraId="17956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5" w:hRule="atLeast"/>
        </w:trPr>
        <w:tc>
          <w:tcPr>
            <w:tcW w:w="8220" w:type="dxa"/>
          </w:tcPr>
          <w:p w14:paraId="198B7F0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实验过程及内容：</w:t>
            </w:r>
          </w:p>
          <w:p w14:paraId="72334A3B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读取带纹理的obj文件</w:t>
            </w:r>
          </w:p>
          <w:p w14:paraId="3F99883E">
            <w:pPr>
              <w:numPr>
                <w:numId w:val="0"/>
              </w:numPr>
              <w:ind w:leftChars="0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打开相应的文件，若文件不存在则退出，如下图1；执行cleanData清空缓存。</w:t>
            </w:r>
          </w:p>
          <w:p w14:paraId="4949EED0">
            <w:pPr>
              <w:numPr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4559935" cy="1723390"/>
                  <wp:effectExtent l="0" t="0" r="12065" b="139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935" cy="172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679EFF">
            <w:pPr>
              <w:numPr>
                <w:numId w:val="0"/>
              </w:numPr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 读取文件</w:t>
            </w:r>
          </w:p>
          <w:p w14:paraId="1CA3CE88">
            <w:pPr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根据文件格式，解析文件数据，如下图2：</w:t>
            </w:r>
          </w:p>
          <w:p w14:paraId="3154D232">
            <w:pPr>
              <w:numPr>
                <w:ilvl w:val="0"/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行首为数据类型，如v、vt、vn、f等；</w:t>
            </w:r>
          </w:p>
          <w:p w14:paraId="1BD6B539">
            <w:pPr>
              <w:numPr>
                <w:ilvl w:val="0"/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对于顶点v，连续读取3个浮点数（x、y、z坐标）；</w:t>
            </w:r>
          </w:p>
          <w:p w14:paraId="291FC6A2">
            <w:pPr>
              <w:numPr>
                <w:ilvl w:val="0"/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对于纹理坐标vt，读取2个浮点数（x、y坐标）；</w:t>
            </w:r>
          </w:p>
          <w:p w14:paraId="6C0F5A36">
            <w:pPr>
              <w:numPr>
                <w:ilvl w:val="0"/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对于法向量vn，连续读取3个浮点数（x、y、z坐标）；</w:t>
            </w:r>
          </w:p>
          <w:p w14:paraId="0F119DD8">
            <w:pPr>
              <w:numPr>
                <w:ilvl w:val="0"/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对于面片f（仅处理三角面片），格式为v/vt/vn，为相应属性的索引；</w:t>
            </w:r>
          </w:p>
          <w:p w14:paraId="641CFB75">
            <w:pPr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969385" cy="5764530"/>
                  <wp:effectExtent l="0" t="0" r="8255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b="4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385" cy="5764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698343">
            <w:pPr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图2 解析obj文件</w:t>
            </w:r>
          </w:p>
          <w:p w14:paraId="59C27017">
            <w:pPr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需要注意的是，vector索引是从0开始，abc的值需要减1才是正确的值；</w:t>
            </w:r>
          </w:p>
          <w:p w14:paraId="635B2B2C">
            <w:pPr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由于obj文件中没有颜色信息，避免颜色数据为空，赋法向量的值。</w:t>
            </w:r>
          </w:p>
          <w:p w14:paraId="76719F4B">
            <w:pPr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EFA040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完善数据的读取</w:t>
            </w:r>
          </w:p>
          <w:p w14:paraId="18A43BE4">
            <w:pPr>
              <w:numPr>
                <w:numId w:val="0"/>
              </w:numPr>
              <w:ind w:leftChars="0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在storeFacesPoints函数中，首先进行预处理，将三维模型归一化，计算模型三维坐标范围、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中心、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对角线长度，进行归一化，如下图3；</w:t>
            </w:r>
          </w:p>
          <w:p w14:paraId="4B3DF461">
            <w:pPr>
              <w:numPr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4491990" cy="3403600"/>
                  <wp:effectExtent l="0" t="0" r="3810" b="1016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8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90" cy="340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CE06A">
            <w:pPr>
              <w:numPr>
                <w:numId w:val="0"/>
              </w:numPr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 模型归一化</w:t>
            </w:r>
          </w:p>
          <w:p w14:paraId="3083AFAE">
            <w:pPr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这一步避免了模型之间差距过大导致的绘制问题。</w:t>
            </w:r>
          </w:p>
          <w:p w14:paraId="7119B7D5">
            <w:pPr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</w:p>
          <w:p w14:paraId="1B5C55AE">
            <w:pPr>
              <w:numPr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接着，计算面片法向量；根据从obj文件读取的索引组织信息，存储到相应位置，如下图4；</w:t>
            </w:r>
          </w:p>
          <w:p w14:paraId="31FEE46B">
            <w:pPr>
              <w:numPr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4142105" cy="3912235"/>
                  <wp:effectExtent l="0" t="0" r="3175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b="6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2105" cy="391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92299">
            <w:pPr>
              <w:numPr>
                <w:numId w:val="0"/>
              </w:numPr>
              <w:ind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图4 存储顶点、法向量、纹理</w:t>
            </w:r>
          </w:p>
          <w:p w14:paraId="6D6677CC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eastAsia="宋体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模型和纹理显示</w:t>
            </w:r>
          </w:p>
          <w:p w14:paraId="2EEF3482">
            <w:pPr>
              <w:numPr>
                <w:numId w:val="0"/>
              </w:numPr>
              <w:ind w:leftChars="0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在init函数中，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补充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模型对象创建，文件读取，贴图绘制等操作；首先绘制table，如下图5；</w:t>
            </w:r>
          </w:p>
          <w:p w14:paraId="536F7986">
            <w:pPr>
              <w:numPr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4293870" cy="178308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b="27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870" cy="178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68E14">
            <w:pPr>
              <w:numPr>
                <w:numId w:val="0"/>
              </w:numPr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图5 table初始化</w:t>
            </w:r>
          </w:p>
          <w:p w14:paraId="42D0AC61">
            <w:pPr>
              <w:numPr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接着进行wawa的文件读取，Model View矩阵初始化，贴图绘制，如下图6；</w:t>
            </w:r>
          </w:p>
          <w:p w14:paraId="2B9F3717">
            <w:pPr>
              <w:numPr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4251960" cy="1921510"/>
                  <wp:effectExtent l="0" t="0" r="0" b="1397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192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116BDA">
            <w:pPr>
              <w:numPr>
                <w:numId w:val="0"/>
              </w:numPr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图6 wawa初始化</w:t>
            </w:r>
          </w:p>
          <w:p w14:paraId="5BEC6695">
            <w:pPr>
              <w:numPr>
                <w:ilvl w:val="0"/>
                <w:numId w:val="2"/>
              </w:numPr>
              <w:ind w:left="420" w:leftChars="0" w:hanging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运行结果：模型显示正常</w:t>
            </w:r>
          </w:p>
          <w:p w14:paraId="49CEAE12">
            <w:pPr>
              <w:numPr>
                <w:numId w:val="0"/>
              </w:numPr>
              <w:ind w:leftChars="0"/>
              <w:jc w:val="center"/>
            </w:pPr>
            <w:r>
              <w:drawing>
                <wp:inline distT="0" distB="0" distL="114300" distR="114300">
                  <wp:extent cx="4427220" cy="2272030"/>
                  <wp:effectExtent l="0" t="0" r="7620" b="1397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220" cy="227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4A9CF">
            <w:pPr>
              <w:numPr>
                <w:numId w:val="0"/>
              </w:numPr>
              <w:ind w:left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图7 模型显示</w:t>
            </w:r>
          </w:p>
        </w:tc>
      </w:tr>
    </w:tbl>
    <w:p w14:paraId="5A59BC35"/>
    <w:p w14:paraId="3F96330B"/>
    <w:p w14:paraId="4D1F4AB4">
      <w:r>
        <w:rPr>
          <w:rFonts w:hint="eastAsia"/>
        </w:rPr>
        <w:t>深圳大学学生实验报告用纸</w:t>
      </w:r>
    </w:p>
    <w:p w14:paraId="4481AC63"/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25853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 w14:paraId="3DBF395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实验结论：</w:t>
            </w:r>
          </w:p>
          <w:p w14:paraId="6AC1F303">
            <w:pPr>
              <w:numPr>
                <w:ilvl w:val="0"/>
                <w:numId w:val="3"/>
              </w:numPr>
              <w:ind w:left="420" w:leftChars="0" w:hanging="42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掌握了三维渲染的数据流闭环：实验不仅局限于单个技术点，而是完整实现了从磁盘（OBJ文件、纹理图片）读取数据，到在内存中解析、组织（几何坐标、法线、纹理坐标），最终通过渲染管线显示到屏幕的整个流程。这深化了对图形程序“数据驱动”本质的理解。 </w:t>
            </w:r>
          </w:p>
          <w:p w14:paraId="68F6D21D">
            <w:pPr>
              <w:numPr>
                <w:ilvl w:val="0"/>
                <w:numId w:val="3"/>
              </w:numPr>
              <w:ind w:left="420" w:leftChars="0" w:hanging="42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理解了OBJ格式的结构化设计思想：通过亲手解析OBJ文件，深刻认识到三维模型文件通过分离存储顶点属性（v, vt, vn）和面索引（f），如何高效地实现数据复用，从而平衡了存储空间与渲染效率。 </w:t>
            </w:r>
          </w:p>
          <w:p w14:paraId="2E6310F0">
            <w:pPr>
              <w:numPr>
                <w:ilvl w:val="0"/>
                <w:numId w:val="3"/>
              </w:numPr>
              <w:ind w:left="420" w:leftChars="0" w:hanging="42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认识到数据预处理的关键作用：实验中涉及的 cleanData（清空旧数据）和顶点归一化操作，虽是前置步骤，但至关重要。这体现了在图形编程中，保证数据纯净与尺度统一是避免渲染错误、提升程序鲁棒性的基础。 </w:t>
            </w:r>
          </w:p>
          <w:p w14:paraId="767FAC74">
            <w:pPr>
              <w:numPr>
                <w:ilvl w:val="0"/>
                <w:numId w:val="3"/>
              </w:numPr>
              <w:ind w:left="420" w:leftChars="0" w:hanging="42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验证了纹理映射的核心机制：实验成功地将二维纹理图像“包裹”到三维几何体上，直观地验证了纹理坐标作为连接几何顶点与纹理像素的桥梁作用。这为后续学习更复杂的材质和光照模型奠定了基础。 </w:t>
            </w:r>
          </w:p>
          <w:p w14:paraId="0E1061D1">
            <w:pPr>
              <w:rPr>
                <w:b/>
                <w:sz w:val="44"/>
              </w:rPr>
            </w:pPr>
            <w:bookmarkStart w:id="0" w:name="_GoBack"/>
            <w:bookmarkEnd w:id="0"/>
          </w:p>
        </w:tc>
      </w:tr>
      <w:tr w14:paraId="63AF9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028DEF66">
            <w:r>
              <w:rPr>
                <w:rFonts w:hint="eastAsia"/>
              </w:rPr>
              <w:t>指导教师批阅意见：</w:t>
            </w:r>
          </w:p>
          <w:p w14:paraId="1A25C9EA"/>
          <w:p w14:paraId="36BFCFC8"/>
          <w:p w14:paraId="7792F7DB"/>
          <w:p w14:paraId="5C3B8258"/>
          <w:p w14:paraId="7204587C"/>
          <w:p w14:paraId="2BC38A2E"/>
          <w:p w14:paraId="0798C761"/>
          <w:p w14:paraId="0B257E5A"/>
          <w:p w14:paraId="386CF952"/>
          <w:p w14:paraId="47A58239"/>
          <w:p w14:paraId="3381B0D4">
            <w:r>
              <w:rPr>
                <w:rFonts w:hint="eastAsia"/>
              </w:rPr>
              <w:t>成绩评定：</w:t>
            </w:r>
          </w:p>
          <w:p w14:paraId="116992FB"/>
          <w:p w14:paraId="1A38521F"/>
          <w:p w14:paraId="7DB325CE"/>
          <w:p w14:paraId="5CBE5907"/>
          <w:p w14:paraId="0D6A51DD"/>
          <w:p w14:paraId="42D3497A"/>
          <w:p w14:paraId="3EB69E05"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7ED8F157"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79B08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62C34EBD">
            <w:r>
              <w:rPr>
                <w:rFonts w:hint="eastAsia"/>
              </w:rPr>
              <w:t>备注：</w:t>
            </w:r>
          </w:p>
        </w:tc>
      </w:tr>
    </w:tbl>
    <w:p w14:paraId="039F5945">
      <w:r>
        <w:rPr>
          <w:rFonts w:hint="eastAsia"/>
        </w:rPr>
        <w:t>注：1、报告内的项目或内容设置，可根据实际情况加以调整和补充。</w:t>
      </w:r>
    </w:p>
    <w:p w14:paraId="133068B0"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06091"/>
    <w:multiLevelType w:val="multilevel"/>
    <w:tmpl w:val="07306091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530EB0"/>
    <w:multiLevelType w:val="multilevel"/>
    <w:tmpl w:val="0C530EB0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  <w:sz w:val="21"/>
        <w:szCs w:val="16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E12E09"/>
    <w:multiLevelType w:val="multilevel"/>
    <w:tmpl w:val="1CE12E09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  <w:sz w:val="21"/>
        <w:szCs w:val="16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2E2"/>
    <w:rsid w:val="0005453A"/>
    <w:rsid w:val="00096447"/>
    <w:rsid w:val="000D24B3"/>
    <w:rsid w:val="000D766B"/>
    <w:rsid w:val="00150CB9"/>
    <w:rsid w:val="001D4A56"/>
    <w:rsid w:val="00211059"/>
    <w:rsid w:val="00255F1D"/>
    <w:rsid w:val="002B02D0"/>
    <w:rsid w:val="002E54A8"/>
    <w:rsid w:val="002F33B6"/>
    <w:rsid w:val="00410BA4"/>
    <w:rsid w:val="00444055"/>
    <w:rsid w:val="00453F91"/>
    <w:rsid w:val="007416C5"/>
    <w:rsid w:val="007D2A88"/>
    <w:rsid w:val="00860295"/>
    <w:rsid w:val="00906042"/>
    <w:rsid w:val="009347F6"/>
    <w:rsid w:val="00975D73"/>
    <w:rsid w:val="009C6480"/>
    <w:rsid w:val="00A96F0F"/>
    <w:rsid w:val="00AD42E2"/>
    <w:rsid w:val="00B058CE"/>
    <w:rsid w:val="00B7262F"/>
    <w:rsid w:val="00D32996"/>
    <w:rsid w:val="00D71BCA"/>
    <w:rsid w:val="00D72884"/>
    <w:rsid w:val="00D80839"/>
    <w:rsid w:val="00E01A94"/>
    <w:rsid w:val="00E0242E"/>
    <w:rsid w:val="00E6258A"/>
    <w:rsid w:val="00EA1B07"/>
    <w:rsid w:val="00EB51D8"/>
    <w:rsid w:val="00EE045E"/>
    <w:rsid w:val="00F63AC9"/>
    <w:rsid w:val="035111B2"/>
    <w:rsid w:val="09A11A04"/>
    <w:rsid w:val="0E510217"/>
    <w:rsid w:val="113B2BFA"/>
    <w:rsid w:val="12650F12"/>
    <w:rsid w:val="150E6777"/>
    <w:rsid w:val="182C735A"/>
    <w:rsid w:val="28BD7C6F"/>
    <w:rsid w:val="38CC1D4A"/>
    <w:rsid w:val="3D5B18EE"/>
    <w:rsid w:val="43F86D9F"/>
    <w:rsid w:val="44AA58B3"/>
    <w:rsid w:val="506D5FB1"/>
    <w:rsid w:val="584B08C6"/>
    <w:rsid w:val="613872F0"/>
    <w:rsid w:val="687C2DE5"/>
    <w:rsid w:val="68CD1FF4"/>
    <w:rsid w:val="68D56986"/>
    <w:rsid w:val="726245AA"/>
    <w:rsid w:val="75F5329D"/>
    <w:rsid w:val="7BED557B"/>
    <w:rsid w:val="7D1A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character" w:customStyle="1" w:styleId="9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340</Words>
  <Characters>370</Characters>
  <Lines>131</Lines>
  <Paragraphs>60</Paragraphs>
  <TotalTime>7</TotalTime>
  <ScaleCrop>false</ScaleCrop>
  <LinksUpToDate>false</LinksUpToDate>
  <CharactersWithSpaces>810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2021-09-12T12:38:00Z</dcterms:created>
  <dc:creator>d</dc:creator>
  <cp:lastModifiedBy>-</cp:lastModifiedBy>
  <cp:lastPrinted>2006-09-04T06:46:00Z</cp:lastPrinted>
  <dcterms:modified xsi:type="dcterms:W3CDTF">2025-12-02T13:55:29Z</dcterms:modified>
  <dc:title>大 学 实 验 报 告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eyJoZGlkIjoiZjMwNDQ1MTZkODhiZTNhMzUzM2ZmNTQ4MmIyMDgxMTEiLCJ1c2VySWQiOiIxMjkxOTg4NDgzIn0=</vt:lpwstr>
  </property>
  <property fmtid="{D5CDD505-2E9C-101B-9397-08002B2CF9AE}" pid="3" name="KSOProductBuildVer">
    <vt:lpwstr>2052-12.1.0.23542</vt:lpwstr>
  </property>
  <property fmtid="{D5CDD505-2E9C-101B-9397-08002B2CF9AE}" pid="4" name="ICV">
    <vt:lpwstr>149492D27C854BBE9C5070319919047A_12</vt:lpwstr>
  </property>
</Properties>
</file>