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Calibri" w:hAnsi="Calibri"/>
          <w:b/>
          <w:i w:val="0"/>
          <w:color w:val="1B5E20"/>
          <w:sz w:val="40"/>
        </w:rPr>
        <w:t>HoopsConnect: In-Kind Technology Contribution</w:t>
      </w:r>
    </w:p>
    <w:p>
      <w:pPr>
        <w:spacing w:before="0" w:after="140" w:line="252" w:lineRule="auto"/>
        <w:pBdr>
          <w:bottom w:val="single" w:sz="10" w:space="6" w:color="2E7D32"/>
        </w:pBdr>
      </w:pPr>
      <w:r>
        <w:rPr>
          <w:rFonts w:ascii="Calibri" w:hAnsi="Calibri"/>
          <w:b w:val="0"/>
          <w:i w:val="0"/>
          <w:color w:val="595959"/>
          <w:sz w:val="23"/>
        </w:rPr>
        <w:t>A custom basketball operations platform built for the Jamaica Basketball Association.</w:t>
      </w:r>
    </w:p>
    <w:p>
      <w:pPr>
        <w:spacing w:before="0" w:after="140" w:line="252" w:lineRule="auto"/>
      </w:pPr>
      <w:r>
        <w:rPr>
          <w:rFonts w:ascii="Calibri" w:hAnsi="Calibri"/>
          <w:b/>
          <w:i w:val="0"/>
          <w:color w:val="191919"/>
          <w:sz w:val="21"/>
        </w:rPr>
        <w:t xml:space="preserve">Prepared for: </w:t>
      </w:r>
      <w:r>
        <w:rPr>
          <w:rFonts w:ascii="Calibri" w:hAnsi="Calibri"/>
          <w:b w:val="0"/>
          <w:i w:val="0"/>
          <w:color w:val="191919"/>
          <w:sz w:val="21"/>
        </w:rPr>
        <w:t>Jamaica Basketball Association</w:t>
      </w:r>
      <w:r>
        <w:rPr>
          <w:rFonts w:ascii="Calibri" w:hAnsi="Calibri"/>
          <w:b w:val="0"/>
          <w:i w:val="0"/>
          <w:color w:val="191919"/>
          <w:sz w:val="21"/>
        </w:rPr>
        <w:t xml:space="preserve">    </w:t>
      </w:r>
      <w:r>
        <w:rPr>
          <w:rFonts w:ascii="Calibri" w:hAnsi="Calibri"/>
          <w:b/>
          <w:i w:val="0"/>
          <w:color w:val="191919"/>
          <w:sz w:val="21"/>
        </w:rPr>
        <w:t xml:space="preserve">Purpose: </w:t>
      </w:r>
      <w:r>
        <w:rPr>
          <w:rFonts w:ascii="Calibri" w:hAnsi="Calibri"/>
          <w:b w:val="0"/>
          <w:i w:val="0"/>
          <w:color w:val="191919"/>
          <w:sz w:val="21"/>
        </w:rPr>
        <w:t>Recognize the scope, value, and donated development cost</w:t>
      </w:r>
    </w:p>
    <w:tbl>
      <w:tblPr>
        <w:tblW w:type="dxa" w:w="9360"/>
        <w:tblLook w:firstColumn="1" w:firstRow="1" w:lastColumn="0" w:lastRow="0" w:noHBand="0" w:noVBand="1" w:val="04A0"/>
        <w:tblInd w:type="dxa" w:w="120"/>
        <w:tblLayout w:type="fixed"/>
        <w:tblBorders>
          <w:top w:val="single" w:sz="8" w:space="0" w:color="C9D7C9"/>
          <w:left w:val="single" w:sz="8" w:space="0" w:color="C9D7C9"/>
          <w:bottom w:val="single" w:sz="8" w:space="0" w:color="C9D7C9"/>
          <w:right w:val="single" w:sz="8" w:space="0" w:color="C9D7C9"/>
          <w:insideH w:val="single" w:sz="8" w:space="0" w:color="C9D7C9"/>
          <w:insideV w:val="single" w:sz="8" w:space="0" w:color="C9D7C9"/>
        </w:tblBorders>
      </w:tblPr>
      <w:tblGrid>
        <w:gridCol w:w="9878"/>
      </w:tblGrid>
      <w:tr>
        <w:tc>
          <w:tcPr>
            <w:tcW w:type="dxa" w:w="9878"/>
            <w:vAlign w:val="center"/>
            <w:shd w:fill="EAF4EA"/>
            <w:tcMar>
              <w:top w:w="105" w:type="dxa"/>
              <w:bottom w:w="105" w:type="dxa"/>
              <w:start w:w="15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B5E20"/>
                <w:sz w:val="23"/>
              </w:rPr>
              <w:t xml:space="preserve">Core point: </w:t>
            </w:r>
            <w:r>
              <w:rPr>
                <w:rFonts w:ascii="Calibri" w:hAnsi="Calibri"/>
                <w:b w:val="0"/>
                <w:i w:val="0"/>
                <w:color w:val="191919"/>
                <w:sz w:val="23"/>
              </w:rPr>
              <w:t>This is not a simple website or visual mockup. It is a custom, multi-role operations system being provided to the Association with no upfront development charge. The cost is being donated; the value still exists.</w:t>
            </w:r>
          </w:p>
        </w:tc>
      </w:tr>
    </w:tbl>
    <w:p>
      <w:pPr>
        <w:spacing w:before="0" w:after="20" w:line="259" w:lineRule="auto"/>
      </w:pPr>
    </w:p>
    <w:p>
      <w:pPr>
        <w:spacing w:before="80" w:after="60" w:line="252" w:lineRule="auto"/>
      </w:pPr>
      <w:r>
        <w:rPr>
          <w:rFonts w:ascii="Calibri" w:hAnsi="Calibri"/>
          <w:b/>
          <w:i w:val="0"/>
          <w:color w:val="1B5E20"/>
          <w:sz w:val="24"/>
        </w:rPr>
        <w:t>What the App Provides</w:t>
      </w:r>
    </w:p>
    <w:p>
      <w:pPr>
        <w:pStyle w:val="ListBullet"/>
        <w:spacing w:after="40" w:line="252" w:lineRule="auto"/>
        <w:ind w:left="540" w:hanging="271"/>
      </w:pPr>
      <w:r>
        <w:rPr>
          <w:rFonts w:ascii="Calibri" w:hAnsi="Calibri"/>
          <w:b/>
          <w:i w:val="0"/>
          <w:color w:val="191919"/>
          <w:sz w:val="21"/>
        </w:rPr>
        <w:t xml:space="preserve">Administration and governance: </w:t>
      </w:r>
      <w:r>
        <w:rPr>
          <w:rFonts w:ascii="Calibri" w:hAnsi="Calibri"/>
          <w:b w:val="0"/>
          <w:i w:val="0"/>
          <w:color w:val="191919"/>
          <w:sz w:val="21"/>
        </w:rPr>
        <w:t>role-based access for super admins, admins, statisticians, team reps, media/press, and fans; user management; approval-style workflows; and centralized records.</w:t>
      </w:r>
    </w:p>
    <w:p>
      <w:pPr>
        <w:pStyle w:val="ListBullet"/>
        <w:spacing w:after="40" w:line="252" w:lineRule="auto"/>
        <w:ind w:left="540" w:hanging="271"/>
      </w:pPr>
      <w:r>
        <w:rPr>
          <w:rFonts w:ascii="Calibri" w:hAnsi="Calibri"/>
          <w:b/>
          <w:i w:val="0"/>
          <w:color w:val="191919"/>
          <w:sz w:val="21"/>
        </w:rPr>
        <w:t xml:space="preserve">Communication and accountability: </w:t>
      </w:r>
      <w:r>
        <w:rPr>
          <w:rFonts w:ascii="Calibri" w:hAnsi="Calibri"/>
          <w:b w:val="0"/>
          <w:i w:val="0"/>
          <w:color w:val="191919"/>
          <w:sz w:val="21"/>
        </w:rPr>
        <w:t>official board posts, acknowledgments, reminders, calendars, notifications, and team-facing information in one controlled platform.</w:t>
      </w:r>
    </w:p>
    <w:p>
      <w:pPr>
        <w:pStyle w:val="ListBullet"/>
        <w:spacing w:after="40" w:line="252" w:lineRule="auto"/>
        <w:ind w:left="540" w:hanging="271"/>
      </w:pPr>
      <w:r>
        <w:rPr>
          <w:rFonts w:ascii="Calibri" w:hAnsi="Calibri"/>
          <w:b/>
          <w:i w:val="0"/>
          <w:color w:val="191919"/>
          <w:sz w:val="21"/>
        </w:rPr>
        <w:t xml:space="preserve">Competition operations: </w:t>
      </w:r>
      <w:r>
        <w:rPr>
          <w:rFonts w:ascii="Calibri" w:hAnsi="Calibri"/>
          <w:b w:val="0"/>
          <w:i w:val="0"/>
          <w:color w:val="191919"/>
          <w:sz w:val="21"/>
        </w:rPr>
        <w:t>teams, rosters, schedule generation, game records, live/post-game statistics, box scores, standings, and leaderboards.</w:t>
      </w:r>
    </w:p>
    <w:p>
      <w:pPr>
        <w:pStyle w:val="ListBullet"/>
        <w:spacing w:after="40" w:line="252" w:lineRule="auto"/>
        <w:ind w:left="540" w:hanging="271"/>
      </w:pPr>
      <w:r>
        <w:rPr>
          <w:rFonts w:ascii="Calibri" w:hAnsi="Calibri"/>
          <w:b/>
          <w:i w:val="0"/>
          <w:color w:val="191919"/>
          <w:sz w:val="21"/>
        </w:rPr>
        <w:t xml:space="preserve">Technical foundation: </w:t>
      </w:r>
      <w:r>
        <w:rPr>
          <w:rFonts w:ascii="Calibri" w:hAnsi="Calibri"/>
          <w:b w:val="0"/>
          <w:i w:val="0"/>
          <w:color w:val="191919"/>
          <w:sz w:val="21"/>
        </w:rPr>
        <w:t>Flutter web/iOS/Android app architecture, Firebase authentication, Firestore data model, cloud messaging, storage readiness, security rules, and automated test coverage.</w:t>
      </w:r>
    </w:p>
    <w:p>
      <w:pPr>
        <w:spacing w:before="140" w:after="60" w:line="252" w:lineRule="auto"/>
      </w:pPr>
      <w:r>
        <w:rPr>
          <w:rFonts w:ascii="Calibri" w:hAnsi="Calibri"/>
          <w:b/>
          <w:i w:val="0"/>
          <w:color w:val="1B5E20"/>
          <w:sz w:val="24"/>
        </w:rPr>
        <w:t>Work Already Completed</w:t>
      </w:r>
    </w:p>
    <w:p>
      <w:pPr>
        <w:spacing w:before="0" w:after="80" w:line="259" w:lineRule="auto"/>
      </w:pPr>
      <w:r>
        <w:rPr>
          <w:rFonts w:ascii="Calibri" w:hAnsi="Calibri"/>
          <w:b w:val="0"/>
          <w:i w:val="0"/>
          <w:color w:val="191919"/>
          <w:sz w:val="22"/>
        </w:rPr>
        <w:t>The current product represents product planning, user-flow design, interface development, data modeling, backend integration, role-based routing, Firebase setup, testing, and launch stabilization work. That is the same type of work normally handled by a product team, app developer, backend engineer, UX designer, and QA process.</w:t>
      </w:r>
    </w:p>
    <w:p>
      <w:pPr>
        <w:spacing w:before="140" w:after="60" w:line="252" w:lineRule="auto"/>
      </w:pPr>
      <w:r>
        <w:rPr>
          <w:rFonts w:ascii="Calibri" w:hAnsi="Calibri"/>
          <w:b/>
          <w:i w:val="0"/>
          <w:color w:val="1B5E20"/>
          <w:sz w:val="24"/>
        </w:rPr>
        <w:t>Commercial Value</w:t>
      </w:r>
    </w:p>
    <w:p>
      <w:pPr>
        <w:spacing w:before="0" w:after="80" w:line="259" w:lineRule="auto"/>
      </w:pPr>
      <w:r>
        <w:rPr>
          <w:rFonts w:ascii="Calibri" w:hAnsi="Calibri"/>
          <w:b/>
          <w:i w:val="0"/>
          <w:color w:val="191919"/>
          <w:sz w:val="22"/>
        </w:rPr>
        <w:t xml:space="preserve">Conservative build value: </w:t>
      </w:r>
      <w:r>
        <w:rPr>
          <w:rFonts w:ascii="Calibri" w:hAnsi="Calibri"/>
          <w:b/>
          <w:i w:val="0"/>
          <w:color w:val="1B5E20"/>
          <w:sz w:val="22"/>
        </w:rPr>
        <w:t>$60,000-$90,000 USD</w:t>
      </w:r>
      <w:r>
        <w:rPr>
          <w:rFonts w:ascii="Calibri" w:hAnsi="Calibri"/>
          <w:b w:val="0"/>
          <w:i w:val="0"/>
          <w:color w:val="191919"/>
          <w:sz w:val="22"/>
        </w:rPr>
        <w:t xml:space="preserve"> for a launch-ready custom platform of this scope. Exclusive ownership, full handover, app-store deployment, production hardening, training, and ongoing support would reasonably increase the total value. Monthly support and maintenance for a platform like this would typically be separate.</w:t>
      </w:r>
    </w:p>
    <w:p>
      <w:pPr>
        <w:spacing w:before="140" w:after="60" w:line="252" w:lineRule="auto"/>
      </w:pPr>
      <w:r>
        <w:rPr>
          <w:rFonts w:ascii="Calibri" w:hAnsi="Calibri"/>
          <w:b/>
          <w:i w:val="0"/>
          <w:color w:val="1B5E20"/>
          <w:sz w:val="24"/>
        </w:rPr>
        <w:t>What Free Means Here</w:t>
      </w:r>
    </w:p>
    <w:p>
      <w:pPr>
        <w:spacing w:before="0" w:after="80" w:line="259" w:lineRule="auto"/>
      </w:pPr>
      <w:r>
        <w:rPr>
          <w:rFonts w:ascii="Calibri" w:hAnsi="Calibri"/>
          <w:b w:val="0"/>
          <w:i w:val="0"/>
          <w:color w:val="191919"/>
          <w:sz w:val="22"/>
        </w:rPr>
        <w:t>Providing the app at no upfront charge means the Association is receiving a significant in-kind technology contribution. It does not mean the work has no value. Hosting, Firebase usage, app-store fees, training, support, formal ownership/licensing, and future feature requests should be agreed separately so the project can be launched and maintained responsibly.</w:t>
      </w:r>
    </w:p>
    <w:p>
      <w:pPr>
        <w:spacing w:before="140" w:after="60" w:line="252" w:lineRule="auto"/>
      </w:pPr>
      <w:r>
        <w:rPr>
          <w:rFonts w:ascii="Calibri" w:hAnsi="Calibri"/>
          <w:b/>
          <w:i w:val="0"/>
          <w:color w:val="1B5E20"/>
          <w:sz w:val="24"/>
        </w:rPr>
        <w:t>Recommended Next Step</w:t>
      </w:r>
    </w:p>
    <w:p>
      <w:pPr>
        <w:spacing w:before="0" w:after="0" w:line="259" w:lineRule="auto"/>
      </w:pPr>
      <w:r>
        <w:rPr>
          <w:rFonts w:ascii="Calibri" w:hAnsi="Calibri"/>
          <w:b w:val="0"/>
          <w:i w:val="0"/>
          <w:color w:val="191919"/>
          <w:sz w:val="22"/>
        </w:rPr>
        <w:t>Formally acknowledge HoopsConnect as an in-kind technology contribution and agree on a simple launch/support arrangement before the platform is treated as an ongoing operational dependency.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Calibri" w:hAnsi="Calibri"/>
        <w:b w:val="0"/>
        <w:i w:val="0"/>
        <w:color w:val="595959"/>
        <w:sz w:val="17"/>
      </w:rPr>
      <w:t>Prepared May 24,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right"/>
    </w:pPr>
    <w:r>
      <w:rPr>
        <w:rFonts w:ascii="Calibri" w:hAnsi="Calibri"/>
        <w:b w:val="0"/>
        <w:i w:val="0"/>
        <w:color w:val="595959"/>
        <w:sz w:val="17"/>
      </w:rPr>
      <w:t>HoopsConnect | Technology Contribution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