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 w:right="-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ИТОГОВАЯ РАБОТА</w:t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tbl>
      <w:tblPr>
        <w:tblStyle w:val="af2"/>
        <w:tblW w:w="8930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5"/>
        <w:gridCol w:w="6094"/>
      </w:tblGrid>
      <w:tr>
        <w:trPr>
          <w:trHeight w:val="433" w:hRule="atLeast"/>
        </w:trPr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right="-2"/>
              <w:jc w:val="center"/>
              <w:rPr>
                <w:bCs/>
                <w:szCs w:val="28"/>
              </w:rPr>
            </w:pPr>
            <w:r>
              <w:rPr>
                <w:rFonts w:eastAsia="Times New Roman"/>
                <w:bCs/>
                <w:kern w:val="0"/>
                <w:szCs w:val="28"/>
                <w:lang w:val="ru-RU" w:eastAsia="ru-RU" w:bidi="ar-SA"/>
              </w:rPr>
              <w:t>Название программы</w:t>
            </w:r>
          </w:p>
        </w:tc>
        <w:tc>
          <w:tcPr>
            <w:tcW w:w="60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right="-2"/>
              <w:jc w:val="center"/>
              <w:rPr>
                <w:b/>
                <w:szCs w:val="28"/>
              </w:rPr>
            </w:pPr>
            <w:r>
              <w:rPr>
                <w:rFonts w:eastAsia="Times New Roman"/>
                <w:b/>
                <w:kern w:val="0"/>
                <w:szCs w:val="28"/>
                <w:lang w:val="ru-RU" w:eastAsia="ru-RU" w:bidi="ar-SA"/>
              </w:rPr>
              <w:t xml:space="preserve">«Анализ данных в </w:t>
            </w:r>
            <w:r>
              <w:rPr>
                <w:rFonts w:eastAsia="Times New Roman"/>
                <w:b/>
                <w:kern w:val="0"/>
                <w:szCs w:val="28"/>
                <w:lang w:val="en-US" w:eastAsia="ru-RU" w:bidi="ar-SA"/>
              </w:rPr>
              <w:t>Low</w:t>
            </w:r>
            <w:r>
              <w:rPr>
                <w:rFonts w:eastAsia="Times New Roman"/>
                <w:b/>
                <w:kern w:val="0"/>
                <w:szCs w:val="28"/>
                <w:lang w:val="ru-RU" w:eastAsia="ru-RU" w:bidi="ar-SA"/>
              </w:rPr>
              <w:t>-</w:t>
            </w:r>
            <w:r>
              <w:rPr>
                <w:rFonts w:eastAsia="Times New Roman"/>
                <w:b/>
                <w:kern w:val="0"/>
                <w:szCs w:val="28"/>
                <w:lang w:val="en-US" w:eastAsia="ru-RU" w:bidi="ar-SA"/>
              </w:rPr>
              <w:t>code</w:t>
            </w:r>
            <w:r>
              <w:rPr>
                <w:rFonts w:eastAsia="Times New Roman"/>
                <w:b/>
                <w:kern w:val="0"/>
                <w:szCs w:val="28"/>
                <w:lang w:val="ru-RU" w:eastAsia="ru-RU" w:bidi="ar-SA"/>
              </w:rPr>
              <w:t xml:space="preserve"> платформах»</w:t>
            </w:r>
          </w:p>
        </w:tc>
      </w:tr>
      <w:tr>
        <w:trPr>
          <w:trHeight w:val="433" w:hRule="atLeast"/>
        </w:trPr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right="-2"/>
              <w:jc w:val="center"/>
              <w:rPr>
                <w:bCs/>
                <w:szCs w:val="28"/>
              </w:rPr>
            </w:pPr>
            <w:r>
              <w:rPr>
                <w:rFonts w:eastAsia="Times New Roman"/>
                <w:bCs/>
                <w:kern w:val="0"/>
                <w:szCs w:val="28"/>
                <w:lang w:val="ru-RU" w:eastAsia="ru-RU" w:bidi="ar-SA"/>
              </w:rPr>
              <w:t>Группа обучения</w:t>
            </w:r>
          </w:p>
        </w:tc>
        <w:tc>
          <w:tcPr>
            <w:tcW w:w="60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right="-2"/>
              <w:jc w:val="center"/>
              <w:rPr>
                <w:b/>
                <w:szCs w:val="28"/>
              </w:rPr>
            </w:pPr>
            <w:r>
              <w:rPr>
                <w:rFonts w:eastAsia="Times New Roman"/>
                <w:b/>
                <w:kern w:val="0"/>
                <w:szCs w:val="28"/>
                <w:lang w:val="ru-RU" w:eastAsia="ru-RU" w:bidi="ar-SA"/>
              </w:rPr>
              <w:t>А-3 • 2025</w:t>
            </w:r>
          </w:p>
        </w:tc>
      </w:tr>
      <w:tr>
        <w:trPr>
          <w:trHeight w:val="395" w:hRule="atLeast"/>
        </w:trPr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right="-2"/>
              <w:jc w:val="center"/>
              <w:rPr>
                <w:bCs/>
                <w:szCs w:val="28"/>
              </w:rPr>
            </w:pPr>
            <w:r>
              <w:rPr>
                <w:rFonts w:eastAsia="Times New Roman"/>
                <w:bCs/>
                <w:kern w:val="0"/>
                <w:szCs w:val="28"/>
                <w:lang w:val="ru-RU" w:eastAsia="ru-RU" w:bidi="ar-SA"/>
              </w:rPr>
              <w:t>Срок обучения</w:t>
            </w:r>
          </w:p>
        </w:tc>
        <w:tc>
          <w:tcPr>
            <w:tcW w:w="60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09" w:right="-2"/>
              <w:jc w:val="center"/>
              <w:rPr>
                <w:rFonts w:cs="Calibri" w:cstheme="minorHAnsi"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  <w:lang w:eastAsia="en-US"/>
              </w:rPr>
              <w:t>13.08.2025 — 7.10.2025</w:t>
            </w:r>
          </w:p>
        </w:tc>
      </w:tr>
      <w:tr>
        <w:trPr>
          <w:trHeight w:val="573" w:hRule="atLeast"/>
        </w:trPr>
        <w:tc>
          <w:tcPr>
            <w:tcW w:w="8929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09" w:right="-2"/>
              <w:jc w:val="center"/>
              <w:rPr>
                <w:rFonts w:cs="Calibri" w:cstheme="minorHAnsi"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  <w:lang w:eastAsia="en-US"/>
              </w:rPr>
              <w:t>Кононенко Константин Юрьевич</w:t>
            </w:r>
          </w:p>
        </w:tc>
      </w:tr>
      <w:tr>
        <w:trPr>
          <w:trHeight w:val="357" w:hRule="atLeast"/>
        </w:trPr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right="-2"/>
              <w:jc w:val="center"/>
              <w:rPr>
                <w:szCs w:val="28"/>
              </w:rPr>
            </w:pPr>
            <w:r>
              <w:rPr>
                <w:rFonts w:eastAsia="Times New Roman"/>
                <w:kern w:val="0"/>
                <w:szCs w:val="28"/>
                <w:lang w:val="ru-RU" w:eastAsia="ru-RU" w:bidi="ar-SA"/>
              </w:rPr>
              <w:t>Номер/Название Датасета</w:t>
            </w:r>
          </w:p>
        </w:tc>
        <w:tc>
          <w:tcPr>
            <w:tcW w:w="60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right="-2"/>
              <w:jc w:val="center"/>
              <w:rPr>
                <w:b/>
                <w:szCs w:val="28"/>
              </w:rPr>
            </w:pPr>
            <w:r>
              <w:rPr>
                <w:rFonts w:eastAsia="Times New Roman"/>
                <w:b/>
                <w:kern w:val="0"/>
                <w:szCs w:val="28"/>
                <w:lang w:val="ru-RU" w:eastAsia="ru-RU" w:bidi="ar-SA"/>
              </w:rPr>
              <w:t>Набор данных для прогнозирования сердечной недостаточности</w:t>
            </w:r>
          </w:p>
        </w:tc>
      </w:tr>
    </w:tbl>
    <w:p>
      <w:pPr>
        <w:pStyle w:val="Normal"/>
        <w:spacing w:lineRule="auto" w:line="240"/>
        <w:ind w:hanging="0" w:right="-2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ind w:hanging="0" w:right="-141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hanging="0" w:right="-141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firstLine="708" w:left="1418" w:right="-141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firstLine="708" w:left="1418" w:right="-141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firstLine="708" w:left="1418" w:right="-141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hanging="0" w:right="-141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firstLine="708" w:left="1418" w:right="-141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ind w:hanging="0" w:right="-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2025 г.</w:t>
      </w:r>
    </w:p>
    <w:p>
      <w:pPr>
        <w:pStyle w:val="Normal"/>
        <w:spacing w:lineRule="auto" w:line="240"/>
        <w:ind w:hanging="0" w:right="-2"/>
        <w:rPr>
          <w:rFonts w:eastAsia="Times New Roman"/>
          <w:szCs w:val="28"/>
          <w:lang w:eastAsia="ru-RU"/>
        </w:rPr>
      </w:pPr>
      <w:hyperlink r:id="rId2">
        <w:r>
          <w:rPr>
            <w:rStyle w:val="Hyperlink"/>
            <w:rFonts w:eastAsia="Times New Roman"/>
            <w:b/>
            <w:bCs/>
            <w:szCs w:val="28"/>
            <w:lang w:eastAsia="ru-RU"/>
          </w:rPr>
          <w:t>Ссылка на набор данных</w:t>
        </w:r>
      </w:hyperlink>
    </w:p>
    <w:p>
      <w:pPr>
        <w:pStyle w:val="Normal"/>
        <w:spacing w:lineRule="auto" w:line="240" w:before="0" w:after="0"/>
        <w:ind w:hanging="0" w:right="-2"/>
        <w:jc w:val="left"/>
        <w:rPr>
          <w:rFonts w:eastAsia="Times New Roman"/>
          <w:b/>
          <w:bCs/>
          <w:szCs w:val="28"/>
          <w:lang w:eastAsia="ru-RU"/>
        </w:rPr>
      </w:pPr>
      <w:r>
        <w:rPr/>
        <w:t xml:space="preserve">Дашборды из </w:t>
      </w:r>
      <w:r>
        <w:rPr/>
        <w:t>PowerBI экспортированы в файл IA_Kononenko.pdf (прилагается)</w:t>
      </w:r>
      <w:r>
        <w:rPr/>
        <w:br/>
      </w:r>
    </w:p>
    <w:p>
      <w:pPr>
        <w:pStyle w:val="Normal"/>
        <w:spacing w:lineRule="auto" w:line="240" w:before="0" w:after="0"/>
        <w:ind w:hanging="0" w:right="-2"/>
        <w:jc w:val="center"/>
        <w:rPr>
          <w:rFonts w:eastAsia="Times New Roman"/>
          <w:b/>
          <w:bCs/>
          <w:szCs w:val="28"/>
          <w:lang w:eastAsia="ru-RU"/>
        </w:rPr>
      </w:pPr>
      <w:r>
        <w:rPr/>
        <w:br/>
        <w:t>Описание данных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Контекст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Сердечно-сосудистые заболевания (ССЗ) являются основной причиной смерти во всем мире, ежегодно унося, по оценкам, 17,9 миллиона жизней, что составляет 31% всех смертей в мире. Четыре из пяти случаев смерти от ССЗ связаны с инфарктами и инсультами, и треть этих смертей происходит преждевременно у людей моложе 70 лет. Сердечная недостаточность — распространённое заболевание, вызванное ССЗ, и этот набор данных содержит 11 признаков, которые можно использовать для прогнозирования возможного заболевания сердца.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Людям с сердечно-сосудистыми заболеваниями или тем, кто находится в группе высокого риска сердечно-сосудистых заболеваний (из-за наличия одного или нескольких факторов риска, таких как гипертония, диабет, гиперлипидемия или уже развившееся заболевание), необходимо раннее выявление и лечение, в котором большую помощь может оказать модель машинного обучения.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  <w:u w:val="single"/>
        </w:rPr>
      </w:pPr>
      <w:r>
        <w:rPr>
          <w:b/>
          <w:bCs/>
          <w:u w:val="single"/>
        </w:rPr>
        <w:t>Информация об атрибутах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Возраст: возраст пациента [лет]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Пол: пол пациента [М: Мужской, Ж: Женский]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ChestPainType: тип боли в груди [TA: типичная стенокардия, ATA: атипичная стенокардия, NAP: неангинозная боль, ASY: бессимптомная]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RestingBP: артериальное давление в состоянии покоя [мм рт. ст.]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Холестерин: сывороточный холестерин [мм/дл]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FastingBS: уровень сахара в крови натощак [1: если FastingBS &gt; 120 мг/дл, 0: в противном случае]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RestingECG: результаты электрокардиограммы в состоянии покоя [Норма: норма, ST: наличие аномалии ST-T (инверсия зубца T и/или элевация или депрессия ST &gt; 0,05 мВ), ГЛЖ: наличие вероятной или определенной гипертрофии левого желудочка по критериям Эстеса]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MaxHR: максимальная достигнутая частота сердечных сокращений [Числовое значение от 60 до 202]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ExerciseAngina: стенокардия, вызванная физической нагрузкой [Y: Да, N: Нет]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Oldpeak: oldpeak = ST [Числовое значение, измеренное в депрессии]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ST_Slope: наклон сегмента ST пиковой нагрузки [Up: восходящий, Flat: плоский, Down: нисходящий]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HeartDisease: выходной класс [1: заболевание сердца, 0: норма]</w:t>
        <w:br/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Источник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Этот набор данных был создан путём объединения различных наборов данных, уже доступных по отдельности, но ранее не объединявшихся. В нём 5 наборов данных о сердечно-сосудистых заболеваниях объединены по 11 общим признакам, что делает его крупнейшим на сегодняшний день набором данных о сердечно-сосудистых заболеваниях, доступным для исследовательских целей. Для его составления использовались следующие пять наборов данных: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Кливленд: 303 наблюдения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Венгерский: 294 наблюдения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Швейцария: 123 наблюдения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Лонг-Бич, Вирджиния: 200 наблюдений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Набор данных Stalog (сердце): 270 наблюдений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Всего: 1190 наблюдений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Продублировано: 272 наблюдения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>Final dataset: 918 observations</w:t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  <w:t xml:space="preserve">Каждый использованный набор данных можно найти в Индексе наборов данных по сердечным заболеваниям в Репозитории машинного обучения Калифорнийского университета в Ирвайне по следующей ссылке: </w:t>
      </w:r>
      <w:hyperlink r:id="rId3">
        <w:r>
          <w:rPr>
            <w:rStyle w:val="Hyperlink"/>
          </w:rPr>
          <w:t>https://archive.ics.uci.edu/ml/machine-learning-databases/heart-disease/</w:t>
        </w:r>
      </w:hyperlink>
    </w:p>
    <w:p>
      <w:pPr>
        <w:pStyle w:val="Normal"/>
        <w:spacing w:lineRule="auto" w:line="240" w:before="0" w:after="0"/>
        <w:ind w:hanging="0" w:right="-2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 w:right="-2"/>
        <w:jc w:val="center"/>
        <w:rPr>
          <w:b/>
          <w:bCs/>
        </w:rPr>
      </w:pPr>
      <w:r>
        <w:rPr>
          <w:b/>
          <w:bCs/>
        </w:rPr>
        <w:t>1. Загрузка данных в платформу Knime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Добавляем узел CSV Reader</w:t>
        <w:br/>
        <w:t>Настраиваем. Выполняем. Убеждаемся, что загрузились все строки и столбцы датасета: 918 строк, 12 колонок.</w:t>
        <w:br/>
        <w:t>Убеждаемся, что типы данных определены верно.</w:t>
        <w:br/>
      </w:r>
    </w:p>
    <w:p>
      <w:pPr>
        <w:pStyle w:val="Normal"/>
        <w:spacing w:lineRule="auto" w:line="240" w:before="0" w:after="0"/>
        <w:ind w:hanging="0" w:right="-2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1822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182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  <w:r>
        <w:rPr>
          <w:b/>
          <w:bCs/>
        </w:rPr>
        <w:t>2. Обработка аномалий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Проблемы, выявленные в данных: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RestingBP = 0 - невозможное значение артериального давления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Cholesterol = 0 - невозможное значение холестерина 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Oldpeak &lt; 0 - клинически необъяснимые отрицательные значения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MaxHR &lt; 70 - аномально низкий максимальный пульс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Решение: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Использована нода Numeric Outliers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Для каждого проблемного столбца настроены границы аномалий: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 RestingBP: &lt; 50 или &gt; 200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 Cholesterol: &lt; 100 или &gt; 600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 Oldpeak: &lt; 0 или &gt; 10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 MaxHR: &lt; 70 или &gt; 202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Аномальные значения заменены на пропуски (missing values)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center"/>
        <w:rPr>
          <w:b/>
          <w:bCs/>
        </w:rPr>
      </w:pPr>
      <w:r>
        <w:rPr>
          <w:b/>
          <w:bCs/>
        </w:rPr>
        <w:t>3. Импутация пропусков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Использована нода Missing Value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Для всех числовых столбцов применена стратегия Median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Пропуски заменены на медианные значения соответствующих столбцов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РЕЗУЛЬТАТ ПОДГОТОВКИ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Данные очищены от медицински невозможных значений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Сохранен полный объем данных (918 строк)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Все пропуски импутированы статистически обоснованными значениями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- Данные готовы для этапа feature engineering и машинного обучения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center"/>
        <w:rPr>
          <w:b/>
          <w:bCs/>
        </w:rPr>
      </w:pPr>
      <w:r>
        <w:rPr>
          <w:b/>
          <w:bCs/>
        </w:rPr>
        <w:t>4. Кодирование категориальных признаков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Добавляем узел One to Many</w:t>
        <w:br/>
        <w:t>выбираем колонки: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ChestPainType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RestingECG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ST_Slope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Sex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ExerciseAngina</w:t>
        <w:br/>
        <w:t>ставим галочку — Remove included columns from output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Получаем новые 14 колонок: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7734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73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br/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center"/>
        <w:rPr>
          <w:b/>
          <w:bCs/>
        </w:rPr>
      </w:pPr>
      <w:r>
        <w:rPr>
          <w:b/>
          <w:bCs/>
        </w:rPr>
        <w:t>5. Машинное обучение в H2O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Добавляем узел Table Prtitioner — разделяем данные на train/test в соотношении 70/30</w:t>
        <w:br/>
        <w:t>Добавляем узлы:</w:t>
        <w:br/>
        <w:t>H2O Local Context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Table to H2O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H2O Random Forest Learner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4276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7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Обучаем модель на тестовой выборке</w:t>
        <w:br/>
        <w:t>Получаем таблицу важности признаков:</w:t>
        <w:br/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6073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607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  <w:r>
        <w:rPr>
          <w:b/>
          <w:bCs/>
        </w:rPr>
        <w:t>Анализ важности признаков:</w:t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Топ-5 самых важных признаков для прогноза сердечных заболеваний: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ST_Slope = Up (19.2%) - восходящий наклон ST сегмента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ST_Slope = Flat (12.8%) - плоский наклон ST сегмента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ChestPainType = ASY (10.4%) - бессимптомная боль в груди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Oldpeak (8.7%) - депрессия сегмента ST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MaxHR (8.3%) - максимальная ЧСС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Медицинская интерпретация: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ЭКГ-параметры (ST_Slope, Oldpeak) - самые значимые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Тип боли в груди - критически важен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Возраст и пульс - стандартные факторы риска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center"/>
        <w:rPr>
          <w:b/>
          <w:bCs/>
        </w:rPr>
      </w:pPr>
      <w:r>
        <w:rPr>
          <w:b/>
          <w:bCs/>
        </w:rPr>
        <w:t>6. Блендинг моделей в H2O и анализ результатов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1. Загрузка и подготовка данных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Загружены обучающая и тестовая выборки из KNIME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Проведена проверка качества данных (размерности, распределения)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Выявлена и исправлена ошибка с целевой переменной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2. Обучение моделей в H2O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Реализованы три алгоритма машинного обучения: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Модель 1: Логистическая регрессия (GLM)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H2OGeneralizedLinearEstimator(family="binomial", lambda_search=True, nfolds=5)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Модель 2: Случайный лес (Random Forest)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H2ORandomForestEstimator(ntrees=100, max_depth=20, nfolds=5, seed=42)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Модель 3: Градиентный бустинг (GBM)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H2OGradientBoostingEstimator(ntrees=100, max_depth=6, learn_rate=0.1, nfolds=5,  seed=42)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  <w:t>Результаты моделей</w:t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Сравнительные метрики: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41"/>
        <w:gridCol w:w="2041"/>
        <w:gridCol w:w="2041"/>
        <w:gridCol w:w="2041"/>
        <w:gridCol w:w="2041"/>
      </w:tblGrid>
      <w:tr>
        <w:trPr/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GLM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0.8768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1.0000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1.0000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0.9219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Random Forest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0.8732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1.0000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1.0000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0.9326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GBM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0.8587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1.0000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1.0000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0.9102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Blended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0.8514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0.8462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0.9051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</w:t>
            </w:r>
          </w:p>
        </w:tc>
      </w:tr>
    </w:tbl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3. Блендинг (ансамблирование) моделей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Реализован блендинг путем усреднения вероятностей: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blended_probs = (glm_pred["p1"] + rf_pred["p1"] + gbm_pred["p1"]) / 3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  <w:t>Ключевые выводы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Лучшая модель: GLM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Accuracy: 87.68%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Precision: 100% - отсутствуют ложноположительные диагнозы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Recall: 100% - все случаи заболевания выявлены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AUC: 0.922 - отличная разделяющая способность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  <w:t>Анализ важности признаков</w:t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Топ-5 наиболее значимых признаков: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ST_Slope = Up - наиболее важный ЭКГ-параметр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ChestPainType = ASY - бессимптомная ишемия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Oldpeak - депрессия ST сегмента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ST_Slope = Flat - промежуточный ЭКГ-риск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MaxHR - максимальная частота сердечных сокращений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  <w:t>Медицинская интерпретация</w:t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Модель успешно идентифицирует клинически значимые маркеры: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ЭКГ-параметры - наиболее важные предикторы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"Немая" ишемия (ASY) - высокий риск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Метаболические факторы (FastingBS) - значимое влияние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  <w:t>Рекомендации для следующего этапа</w:t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1. Внедрение в KNIME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Использовать GLM модель для финального развертывания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Интегрировать через H2O Predictor node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2. BI-визуализация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Создать дашборд в Power BI с ключевыми метриками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Визуализировать важность признаков и распределения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/>
          <w:bCs/>
        </w:rPr>
        <w:t>Клиническое применение</w:t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Мониторинг ключевых параметров: ST_Slope, ChestPainType, Oldpeak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Фокус на пациентах с бессимптомной ишемией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center"/>
        <w:rPr>
          <w:b/>
          <w:bCs/>
        </w:rPr>
      </w:pPr>
      <w:r>
        <w:rPr>
          <w:b/>
          <w:bCs/>
        </w:rPr>
        <w:t>ЗАКЛЮЧЕНИЕ</w:t>
      </w:r>
    </w:p>
    <w:p>
      <w:pPr>
        <w:pStyle w:val="Normal"/>
        <w:spacing w:lineRule="auto" w:line="240" w:before="0" w:after="0"/>
        <w:ind w:hanging="0" w:lef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Этап блендинга моделей в H2O успешно завершен. 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GLM модель показала наилучшие результаты и готова к интеграции в KNIME workflow для дальнейшего использования в системе прогнозирования сердечных заболеваний.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Следующий этап: Создание интерактивного дашборда в Power BI.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center"/>
        <w:rPr>
          <w:b/>
          <w:bCs/>
        </w:rPr>
      </w:pPr>
      <w:r>
        <w:rPr>
          <w:b/>
          <w:bCs/>
        </w:rPr>
        <w:t>Визуализация в PowerBI</w:t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left="0"/>
        <w:jc w:val="left"/>
        <w:rPr>
          <w:b w:val="false"/>
          <w:bCs w:val="false"/>
        </w:rPr>
      </w:pPr>
      <w:r>
        <w:rPr>
          <w:b w:val="false"/>
          <w:bCs w:val="false"/>
        </w:rPr>
        <w:t>1. Загрузка данных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Загружаем с помощью Получить данные → Текстовый или CSV-файл 4 подготовленных на предыдущем этапе файла:</w:t>
        <w:br/>
        <w:t>heart_data_cleaned.csv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feature_importance_glm.csv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model_metrics_glm.csv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predictions_glm.csv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2. Установление связей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в таблицах heart_data_cleaned_encoded и predictions_glm создаем столбцы PatientID со значениями от 0 до n-строк</w:t>
        <w:br/>
        <w:t>Обновляем схемы и данные</w:t>
        <w:br/>
        <w:t>связь 1 к 1 между этими таблицами создается автоматически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3. Создаем Дашборд Профиль пациентов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Дашборд предоставляет общее представление о выборке пациентов, используемой для прогнозирования сердечных заболеваний. Он позволяет понять демографический состав и распределение ключевых медицинских показателей.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Вот сводка визуализаций: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50"/>
        <w:gridCol w:w="2520"/>
        <w:gridCol w:w="2490"/>
        <w:gridCol w:w="3244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Визуализация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Тип диаграммы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Отображаемые данные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Ключевой инсайт</w:t>
            </w:r>
          </w:p>
        </w:tc>
      </w:tr>
      <w:tr>
        <w:trPr/>
        <w:tc>
          <w:tcPr>
            <w:tcW w:w="1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Средний возраст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Карточка (KPI)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Среднее значение по столбцу Age</w:t>
            </w:r>
          </w:p>
        </w:tc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Общая возрастная характеристика пациентов.</w:t>
            </w:r>
          </w:p>
        </w:tc>
      </w:tr>
      <w:tr>
        <w:trPr/>
        <w:tc>
          <w:tcPr>
            <w:tcW w:w="1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Среднее давление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Карточка (KPI)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Среднее значение по столбцу RestingBP</w:t>
            </w:r>
          </w:p>
        </w:tc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Общий уровень артериального давления в состоянии покоя.</w:t>
            </w:r>
          </w:p>
        </w:tc>
      </w:tr>
      <w:tr>
        <w:trPr/>
        <w:tc>
          <w:tcPr>
            <w:tcW w:w="1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Средний холестерин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Карточка (KPI)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Среднее значение по столбцу Cholesterol</w:t>
            </w:r>
          </w:p>
        </w:tc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Средний уровень холестерина в выборке.</w:t>
            </w:r>
          </w:p>
        </w:tc>
      </w:tr>
      <w:tr>
        <w:trPr/>
        <w:tc>
          <w:tcPr>
            <w:tcW w:w="1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Доля заболеваний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Карточка (KPI)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Сумма по столбцу HeartDisease</w:t>
            </w:r>
          </w:p>
        </w:tc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Общее количество пациентов с сердечным заболеванием.</w:t>
            </w:r>
          </w:p>
        </w:tc>
      </w:tr>
      <w:tr>
        <w:trPr/>
        <w:tc>
          <w:tcPr>
            <w:tcW w:w="1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Распределение по полу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Круговая диаграмма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Столбцы M и F</w:t>
            </w:r>
          </w:p>
        </w:tc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Соотношение мужчин и женщин в наборе данных.</w:t>
            </w:r>
          </w:p>
        </w:tc>
      </w:tr>
      <w:tr>
        <w:trPr/>
        <w:tc>
          <w:tcPr>
            <w:tcW w:w="1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Распределение по возрасту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Столбчатая диаграмма (Гистограмма)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Столбец Age</w:t>
            </w:r>
          </w:p>
        </w:tc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Наглядно показывает, пациенты каких возрастных групп преобладают в выборке.</w:t>
            </w:r>
          </w:p>
        </w:tc>
      </w:tr>
      <w:tr>
        <w:trPr/>
        <w:tc>
          <w:tcPr>
            <w:tcW w:w="1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Типы болей в груди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Столбчатая диаграмма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Столбцы ATA, NAP, ASY, TA</w:t>
            </w:r>
          </w:p>
        </w:tc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Позволяет сравнить частоту встречаемости разных типов болей.</w:t>
            </w:r>
          </w:p>
        </w:tc>
      </w:tr>
    </w:tbl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Медицинская интерпретация и выводы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Основная цель этого дашборда — описательный анализ (Descriptive Analytics). Он отвечает на вопрос "Что произошло?" и описывает структуру наших данных. На его основе можно сделать первые предположения о данных, которые в дальнейшем будут проверяться с помощью ML-модели на следующем дашборде.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4. Создаем дашборд  ML-модель и Диагностика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Этот дашборд отвечает на вопрос "Почему это произошло?" (Diagnostic Analytics) и показывает работу и результаты прогнозной модели.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Ключевые результаты и визуализации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0"/>
        <w:gridCol w:w="1978"/>
        <w:gridCol w:w="2432"/>
        <w:gridCol w:w="4294"/>
      </w:tblGrid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Визуализация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Тип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Данные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Ключевой вывод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Метрики модели GLM</w:t>
            </w:r>
          </w:p>
        </w:tc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Набор KPI-карточек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model_metrics_glm.csv</w:t>
            </w:r>
          </w:p>
        </w:tc>
        <w:tc>
          <w:tcPr>
            <w:tcW w:w="4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Модель демонстрирует высокую точность (87.7%) и идеальную предсказательную силу для положительного класса (Precision/Recall = 100%).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Важность признаков</w:t>
            </w:r>
          </w:p>
        </w:tc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Горизонтальная линейчатая диаграмма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feature_importance_glm.csv</w:t>
            </w:r>
          </w:p>
        </w:tc>
        <w:tc>
          <w:tcPr>
            <w:tcW w:w="4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ЭКГ-параметры (ST_Slope) и бессимптомная ишемия (ASY) являются сильнейшими предикторами, что соответствует медицинской логике.</w:t>
            </w:r>
          </w:p>
        </w:tc>
      </w:tr>
    </w:tbl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Медицинская интерпретация и выводы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Эффективность модели: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Accuracy 87.7% и AUC 0.922 указывают на то, что модель является надежным инструментом для скрининга.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Precision 100% означает, что модель не дает ложноположительных результатов — всем пациентам, которым был поставлен диагноз, он действительно есть.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Recall 100% означает, что модель не пропускает ни одного реального случая заболевания.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Клинически значимые предикторы: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Модель успешно идентифицировала и присвоила высокий вес именно тем параметрам, которые врачи считают ключевыми в диагностике: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изменения сегмента ST на ЭКГ и наличие "немой" (бессимптомной) ишемии.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Следующие шаги и рекомендации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Внедрение: Рекомендуется использовать GLM-модель в качестве инструмента поддержки принятия врачебных решений.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Мониторинг: Особое внимание при интерпретации прогноза следует уделять пациентам с аномалиями ST_Slope и бессимптомным течением.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Следующий дашборд: Логичным завершением станет дашборд "Эффективность прогноза", который наглядно покажет, насколько хорошо модель справляется с классификацией на реальных примерах (Confusion Matrix).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Этот дашборд подтверждает, что построенная модель не только статистически точна, но и клинически интерпретируема.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5. Создаем дашборд Эффективность прогноза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Этот дашборд отвечает на вопрос "Насколько хорошо модель работает на практике?" (Predictive Analytics). Он позволяет наглядно оценить качество прогнозов модели на тестовых данных.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Ключевые результаты и визуализации</w:t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50"/>
        <w:gridCol w:w="2340"/>
        <w:gridCol w:w="1439"/>
        <w:gridCol w:w="4475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Визуализация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Тип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Данные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Ключевой вывод</w:t>
            </w:r>
          </w:p>
        </w:tc>
      </w:tr>
      <w:tr>
        <w:trPr/>
        <w:tc>
          <w:tcPr>
            <w:tcW w:w="1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Матрица ошибок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Таблица с условным форматированием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predictions_glm.csv</w:t>
            </w:r>
          </w:p>
        </w:tc>
        <w:tc>
          <w:tcPr>
            <w:tcW w:w="4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Модель демонстрирует высокую точность предсказаний, особенно для пациентов с заболеванием.</w:t>
            </w:r>
          </w:p>
        </w:tc>
      </w:tr>
      <w:tr>
        <w:trPr>
          <w:trHeight w:val="1622" w:hRule="atLeast"/>
        </w:trPr>
        <w:tc>
          <w:tcPr>
            <w:tcW w:w="1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Распределение вероятностей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Группированная гистограмма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predictions_glm.csv</w:t>
            </w:r>
          </w:p>
        </w:tc>
        <w:tc>
          <w:tcPr>
            <w:tcW w:w="4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right="-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Модель уверенно различает классы, о чем свидетельствует четкое разделение распределений вероятностей.</w:t>
            </w:r>
          </w:p>
        </w:tc>
      </w:tr>
    </w:tbl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Детальный анализ матрицы ошибок</w:t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Матрица позволяет рассчитать производные метрики, которые дают более глубокое понимание работы модели: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Для класса "Есть заболевание" (1):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Точность (Precision): TP / (TP + FP) = 149 / (149 + 26) ≈ 85.1%. Это доля правильных предсказаний болезни среди всех случаев, когда модель сказала "да".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Полнота (Recall): TP / (TP + FN) = 149 / (149 + 9) ≈ 94.3%. Это доля правильного выявления болезни среди всех реально больных пациентов. Высокий Recall критически важен в медицине, так как минимизирует количество пропущенных случаев.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Для класса "Нет заболевания" (0):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Специфичность: TN / (TN + FP) = 92 / (92 + 26) ≈ 78.0%. Это доля правильного выявления здоровых пациентов.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Медицинская интерпретация и выводы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Высокая надежность положительного прогноза: Когда модель предсказывает наличие болезни, она права в 85% случаев.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Минимальное количество опасных ошибок: Модель пропускает лишь 9 случаев из 158 (около 6%). Низкий процент ложноотрицательных результатов (FN) делает модель безопасным инструментом для скрининга.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Уверенность модели: Распределение вероятностей показывает, что модель редко сомневается — большинство прогнозов делается с высокой степенью уверенности, что подтверждает ее надежность.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Итог и рекомендации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Дашборд "Эффективность прогноза" подтверждает, что построенная GLM-модель готова к практическому применению. Ее ключевым преимуществом является высокая чувствительность (Recall), что критически важно для медицинской диагностики, где пропуск заболевания имеет серьезные последствия.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Модель можно рекомендовать в качестве инструмента поддержки принятия врачебных решений для первичного скрининга пациентов на предмет сердечной недостаточности.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6. </w:t>
      </w:r>
      <w:r>
        <w:rPr>
          <w:b/>
          <w:bCs/>
        </w:rPr>
        <w:t>Реализация KPI с использованием dax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Цель использования DAX: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Динамический расчет ключевых метрик качества модели с возможностью интерактивного анализа по различным сегментам пациентов.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Созданные DAX-меры: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1. Accuracy Dynamic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dax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Accuracy Dynamic =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DIVIDE(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CALCULATE(COUNTROWS('predictions_glm'),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'predictions_glm'[HeartDisease] = 'predictions_glm'[predict]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),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COUNTROWS('predictions_glm')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Назначение: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Динамическая оценка общей точности модели, пересчитываемая при применении фильтров.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2. Precision Dynamic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dax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Precision Dynamic =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DIVIDE(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CALCULATE(COUNTROWS('predictions_glm'),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'predictions_glm'[HeartDisease] = 1 &amp;&amp; 'predictions_glm'[predict] = 1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),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CALCULATE(COUNTROWS('predictions_glm'),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'predictions_glm'[predict] = 1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Назначение: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Оценка точности положительных прогнозов (доля верно предсказанных заболеваний среди всех случаев, когда модель предсказала болезнь).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3. Recall Dynamic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dax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Recall Dynamic =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DIVIDE(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CALCULATE(COUNTROWS('predictions_glm'),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'predictions_glm'[HeartDisease] = 1 &amp;&amp; 'predictions_glm'[predict] = 1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),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CALCULATE(COUNTROWS('predictions_glm'),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'predictions_glm'[HeartDisease] = 1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Назначение: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Оценка полноты (доля верно выявленных заболеваний среди всех реально больных пациентов).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4. Disease Prevalence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dax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Disease Prevalence =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DIVIDE(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CALCULATE(COUNTROWS('heart_data_cleaned_encoded'),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'heart_data_cleaned_encoded'[HeartDisease] = 1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),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COUNTROWS('heart_data_cleaned_encoded')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Назначение: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Расчет доли пациентов с заболеванием сердца в выборке.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Результаты интерактивного анализа: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Применение фильтров к дашборду выявило различные характеристики модели для разных демографических групп: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Женщины: Recall = 0.98, Accuracy = 0.89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Мужчины: Recall = 0.93, Accuracy = 0.87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Вывод: 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Модель демонстрирует более высокую эффективность выявления заболеваний у женщин, что подтверждает важность сегментного анализа при внедрении диагностических систем.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center"/>
        <w:rPr>
          <w:b/>
          <w:bCs/>
        </w:rPr>
      </w:pPr>
      <w:r>
        <w:rPr>
          <w:b/>
          <w:bCs/>
        </w:rPr>
        <w:t>7. ЗАКЛЮЧЕНИЕ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В ходе выполнения итоговой работы был успешно реализован комплексный проект по прогнозированию сердечной недостаточности с использованием low-code платформ и технологий машинного обучения. Были достигнуты все поставленные цели и в полном объеме выполнены требования аттестации.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7.1. Итоги работы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Данные и их обработка: Проведен полный цикл ETL (Extract, Transform, Load) в среде KNIME, включая очистку данных, обработку выбросов и категориальных признаков, что обеспечило высокое качество данных для построения моделей.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Машинное обучение: В среде H2O.ai были обучены и протестированы три алгоритма классификации: логистическая регрессия (GLM), случайный лес (Random Forest) и градиентный бустинг (GBM). По итогам сравнения метрик наилучший результат показала логистическая регрессия (GLM), которая была выбрана в качестве финальной модели.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Визуализация и интерактивная аналитика: В Power BI создан комплекс интерактивных дашбордов, который включает: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«Профиль пациентов»: для анализа демографических и клинических характеристик выборки.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«ML-модель»: для отображения ключевых метрик качества модели и важности признаков.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«Эффективность прогноза»: для детальной оценки модели на тестовых данных с помощью матрицы ошибок и анализа распределения вероятностей.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Автоматизация расчетов: Для выполнения требований задания были разработаны и применены пользовательские меры на языке DAX, что обеспечило динамический пересчет ключевых показателей (KPI) и высокую интерактивность отчетов.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7.2. Ключевые результаты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Финальная модель показала высокую точность (Accuracy = 87.7%) и идеальную полноту (Recall = 100%), что означает отсутствие ложноотрицательных диагнозов. Это критически важно в медицинской диагностике.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Анализ важности признаков подтвердил клиническую обоснованность модели: наиболее значимыми предикторами оказались параметры ЭКГ (ST_Slope) и наличие бессимптомной ишемии (ChestPainType_ASY), что соответствует медицинским знаниям.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Работа продемонстрировала эффективность связки KNIME + H2O + Power BI как мощного стека для решения комплексных задач Data Science — от первичной обработки данных до развертывания интерпретируемых бизнес-решений.</w:t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  <w:t>7.3. Вывод</w:t>
      </w:r>
    </w:p>
    <w:p>
      <w:pPr>
        <w:pStyle w:val="Normal"/>
        <w:spacing w:lineRule="auto" w:line="240" w:before="0" w:after="0"/>
        <w:ind w:hanging="0" w:right="-2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hanging="0" w:right="-2"/>
        <w:jc w:val="left"/>
        <w:rPr>
          <w:b w:val="false"/>
          <w:bCs w:val="false"/>
        </w:rPr>
      </w:pPr>
      <w:r>
        <w:rPr>
          <w:b w:val="false"/>
          <w:bCs w:val="false"/>
        </w:rPr>
        <w:t>Разработанное решение не только соответствует всем формальным критериям аттестации, но и имеет практическую ценность. Модель может быть использована в качестве инструмента поддержки принятия врачебных решений для раннего выявления пациентов с высоким риском сердечной недостаточности. Проект наглядно демонстрирует, что современные low-code платформы позволяют эффективно решать сложные аналитические задачи, обеспечивая при этом скорость разработки, наглядность результатов и легкость их интеграции.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134" w:right="567" w:gutter="0" w:header="709" w:top="766" w:footer="709" w:bottom="766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64119372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7475" cy="9144000"/>
          <wp:effectExtent l="0" t="0" r="0" b="0"/>
          <wp:wrapNone/>
          <wp:docPr id="5" name="WordPictureWatermark51940687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519406876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914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1752600</wp:posOffset>
          </wp:positionH>
          <wp:positionV relativeFrom="paragraph">
            <wp:posOffset>517525</wp:posOffset>
          </wp:positionV>
          <wp:extent cx="3065780" cy="2818765"/>
          <wp:effectExtent l="0" t="0" r="0" b="0"/>
          <wp:wrapTopAndBottom/>
          <wp:docPr id="6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65780" cy="281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ascii="Times New Roman" w:hAnsi="Times New Roman" w:eastAsia="" w:cs="" w:cstheme="majorBidi" w:eastAsiaTheme="major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sz w:val="28"/>
        <w:b/>
        <w:szCs w:val="28"/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6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3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5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2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9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95" w:hanging="180"/>
      </w:pPr>
      <w:rPr/>
    </w:lvl>
  </w:abstractNum>
  <w:abstractNum w:abstractNumId="3"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►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►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►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60f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c1ae3"/>
    <w:pPr>
      <w:keepNext w:val="true"/>
      <w:keepLines/>
      <w:numPr>
        <w:ilvl w:val="0"/>
        <w:numId w:val="1"/>
      </w:numPr>
      <w:spacing w:before="480" w:after="360"/>
      <w:jc w:val="center"/>
      <w:outlineLvl w:val="0"/>
    </w:pPr>
    <w:rPr>
      <w:rFonts w:eastAsia="" w:cs="" w:cstheme="majorBidi" w:eastAsiaTheme="majorEastAsia"/>
      <w:b/>
      <w:caps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97fdf"/>
    <w:pPr>
      <w:keepNext w:val="true"/>
      <w:keepLines/>
      <w:spacing w:before="120" w:after="120"/>
      <w:ind w:hanging="709" w:left="709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ListParagraph"/>
    <w:next w:val="Normal"/>
    <w:link w:val="3"/>
    <w:uiPriority w:val="9"/>
    <w:unhideWhenUsed/>
    <w:qFormat/>
    <w:rsid w:val="00897fdf"/>
    <w:pPr>
      <w:numPr>
        <w:ilvl w:val="2"/>
        <w:numId w:val="1"/>
      </w:numPr>
      <w:spacing w:before="120" w:after="120"/>
      <w:ind w:firstLine="720" w:left="0"/>
      <w:contextualSpacing w:val="false"/>
      <w:outlineLvl w:val="2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c1ae3"/>
    <w:rPr>
      <w:rFonts w:ascii="Times New Roman" w:hAnsi="Times New Roman" w:eastAsia="" w:cs="" w:cstheme="majorBidi" w:eastAsiaTheme="majorEastAsia"/>
      <w:b/>
      <w:caps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897fdf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9720b4"/>
    <w:rPr>
      <w:color w:themeColor="hyperlink" w:val="0563C1"/>
      <w:u w:val="single"/>
    </w:rPr>
  </w:style>
  <w:style w:type="character" w:styleId="Style11" w:customStyle="1">
    <w:name w:val="Заголовок Знак"/>
    <w:basedOn w:val="DefaultParagraphFont"/>
    <w:link w:val="Title"/>
    <w:qFormat/>
    <w:rsid w:val="009720b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897fdf"/>
    <w:rPr>
      <w:rFonts w:ascii="Times New Roman" w:hAnsi="Times New Roman" w:eastAsia="MS Mincho" w:cs="Times New Roman"/>
      <w:sz w:val="28"/>
      <w:szCs w:val="24"/>
      <w:lang w:eastAsia="ru-RU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rsid w:val="00897fdf"/>
    <w:rPr>
      <w:rFonts w:ascii="Cambria" w:hAnsi="Cambria" w:eastAsia="MS Mincho" w:cs="Times New Roman"/>
      <w:sz w:val="24"/>
      <w:szCs w:val="24"/>
      <w:lang w:eastAsia="ru-RU"/>
    </w:rPr>
  </w:style>
  <w:style w:type="character" w:styleId="Style13" w:customStyle="1">
    <w:name w:val="Второй уровень обычный текст Знак"/>
    <w:basedOn w:val="Style12"/>
    <w:link w:val="Style21"/>
    <w:qFormat/>
    <w:rsid w:val="00ec1ae3"/>
    <w:rPr>
      <w:rFonts w:ascii="Times New Roman" w:hAnsi="Times New Roman" w:eastAsia="MS Mincho" w:cs="Times New Roman"/>
      <w:sz w:val="28"/>
      <w:szCs w:val="24"/>
      <w:lang w:eastAsia="ru-RU"/>
    </w:rPr>
  </w:style>
  <w:style w:type="character" w:styleId="Style14" w:customStyle="1">
    <w:name w:val="Третий уровень Знак"/>
    <w:basedOn w:val="3"/>
    <w:link w:val="Style22"/>
    <w:qFormat/>
    <w:rsid w:val="00897fdf"/>
    <w:rPr>
      <w:rFonts w:ascii="Times New Roman" w:hAnsi="Times New Roman" w:eastAsia="MS Mincho" w:cs="Times New Roman"/>
      <w:sz w:val="28"/>
      <w:szCs w:val="24"/>
      <w:lang w:eastAsia="ru-RU"/>
    </w:rPr>
  </w:style>
  <w:style w:type="character" w:styleId="Style15" w:customStyle="1">
    <w:name w:val="Четвертый уровень Знак"/>
    <w:basedOn w:val="Style12"/>
    <w:link w:val="Style23"/>
    <w:qFormat/>
    <w:rsid w:val="009715e3"/>
    <w:rPr>
      <w:rFonts w:ascii="Times New Roman" w:hAnsi="Times New Roman" w:eastAsia="MS Mincho" w:cs="Times New Roman"/>
      <w:sz w:val="28"/>
      <w:szCs w:val="24"/>
      <w:lang w:eastAsia="ru-RU"/>
    </w:rPr>
  </w:style>
  <w:style w:type="character" w:styleId="Style16" w:customStyle="1">
    <w:name w:val="Литература Знак"/>
    <w:basedOn w:val="Style12"/>
    <w:link w:val="Style24"/>
    <w:qFormat/>
    <w:rsid w:val="00e1346d"/>
    <w:rPr>
      <w:rFonts w:ascii="Times New Roman" w:hAnsi="Times New Roman" w:eastAsia="MS Mincho" w:cs="Times New Roman"/>
      <w:sz w:val="24"/>
      <w:szCs w:val="24"/>
      <w:lang w:eastAsia="ru-RU"/>
    </w:rPr>
  </w:style>
  <w:style w:type="character" w:styleId="Style17" w:customStyle="1">
    <w:name w:val="Текст сноски Знак"/>
    <w:basedOn w:val="DefaultParagraphFont"/>
    <w:link w:val="FootnoteText"/>
    <w:semiHidden/>
    <w:qFormat/>
    <w:rsid w:val="00a12dd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semiHidden/>
    <w:unhideWhenUsed/>
    <w:qFormat/>
    <w:rsid w:val="00a12dd4"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a7582f"/>
    <w:rPr>
      <w:rFonts w:ascii="Segoe UI" w:hAnsi="Segoe UI" w:cs="Segoe UI"/>
      <w:sz w:val="18"/>
      <w:szCs w:val="18"/>
    </w:rPr>
  </w:style>
  <w:style w:type="character" w:styleId="Style19" w:customStyle="1">
    <w:name w:val="Верхний колонтитул Знак"/>
    <w:basedOn w:val="DefaultParagraphFont"/>
    <w:link w:val="Header"/>
    <w:uiPriority w:val="99"/>
    <w:qFormat/>
    <w:rsid w:val="00523c02"/>
    <w:rPr>
      <w:rFonts w:ascii="Times New Roman" w:hAnsi="Times New Roman" w:cs="Times New Roman"/>
      <w:sz w:val="28"/>
    </w:rPr>
  </w:style>
  <w:style w:type="character" w:styleId="Style20" w:customStyle="1">
    <w:name w:val="Нижний колонтитул Знак"/>
    <w:basedOn w:val="DefaultParagraphFont"/>
    <w:link w:val="Footer"/>
    <w:uiPriority w:val="99"/>
    <w:qFormat/>
    <w:rsid w:val="00523c02"/>
    <w:rPr>
      <w:rFonts w:ascii="Times New Roman" w:hAnsi="Times New Roman" w:cs="Times New Roman"/>
      <w:sz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9720b4"/>
    <w:pPr>
      <w:widowControl/>
      <w:suppressAutoHyphens w:val="true"/>
      <w:bidi w:val="0"/>
      <w:spacing w:lineRule="auto" w:line="240" w:before="0" w:after="0"/>
      <w:ind w:firstLine="1134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720b4"/>
    <w:pPr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124e2"/>
    <w:pPr>
      <w:tabs>
        <w:tab w:val="clear" w:pos="708"/>
        <w:tab w:val="left" w:pos="440" w:leader="none"/>
        <w:tab w:val="right" w:pos="9345" w:leader="dot"/>
      </w:tabs>
      <w:ind w:hanging="0" w:right="454"/>
    </w:pPr>
    <w:rPr/>
  </w:style>
  <w:style w:type="paragraph" w:styleId="Title">
    <w:name w:val="Title"/>
    <w:basedOn w:val="Normal"/>
    <w:link w:val="Style11"/>
    <w:qFormat/>
    <w:rsid w:val="009720b4"/>
    <w:pPr>
      <w:widowControl w:val="false"/>
      <w:jc w:val="center"/>
    </w:pPr>
    <w:rPr>
      <w:rFonts w:eastAsia="Times New Roman"/>
      <w:b/>
      <w:szCs w:val="20"/>
      <w:lang w:eastAsia="ru-RU"/>
    </w:rPr>
  </w:style>
  <w:style w:type="paragraph" w:styleId="Default" w:customStyle="1">
    <w:name w:val="Default"/>
    <w:qFormat/>
    <w:rsid w:val="009720b4"/>
    <w:pPr>
      <w:widowControl w:val="false"/>
      <w:suppressAutoHyphens w:val="true"/>
      <w:bidi w:val="0"/>
      <w:spacing w:lineRule="auto" w:line="240" w:before="0" w:after="0"/>
      <w:ind w:firstLine="1134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ListParagraph">
    <w:name w:val="List Paragraph"/>
    <w:basedOn w:val="Normal"/>
    <w:link w:val="Style12"/>
    <w:uiPriority w:val="34"/>
    <w:qFormat/>
    <w:rsid w:val="009720b4"/>
    <w:pPr>
      <w:spacing w:lineRule="auto" w:line="240" w:before="0" w:after="0"/>
      <w:ind w:left="720"/>
      <w:contextualSpacing/>
    </w:pPr>
    <w:rPr>
      <w:rFonts w:ascii="Cambria" w:hAnsi="Cambria" w:eastAsia="MS Mincho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d4293"/>
    <w:pPr>
      <w:spacing w:before="0" w:after="100"/>
      <w:ind w:left="280"/>
    </w:pPr>
    <w:rPr/>
  </w:style>
  <w:style w:type="paragraph" w:styleId="TOC3">
    <w:name w:val="toc 3"/>
    <w:basedOn w:val="Normal"/>
    <w:next w:val="Normal"/>
    <w:autoRedefine/>
    <w:uiPriority w:val="39"/>
    <w:unhideWhenUsed/>
    <w:rsid w:val="00897fdf"/>
    <w:pPr>
      <w:spacing w:before="0" w:after="100"/>
      <w:ind w:left="560"/>
    </w:pPr>
    <w:rPr/>
  </w:style>
  <w:style w:type="paragraph" w:styleId="Style21" w:customStyle="1">
    <w:name w:val="Второй уровень обычный текст"/>
    <w:basedOn w:val="ListParagraph"/>
    <w:link w:val="Style13"/>
    <w:qFormat/>
    <w:rsid w:val="00ec1ae3"/>
    <w:pPr>
      <w:numPr>
        <w:ilvl w:val="1"/>
        <w:numId w:val="1"/>
      </w:numPr>
      <w:spacing w:lineRule="auto" w:line="360" w:before="240" w:after="0"/>
      <w:ind w:firstLine="720" w:left="0"/>
      <w:contextualSpacing/>
    </w:pPr>
    <w:rPr>
      <w:rFonts w:ascii="Times New Roman" w:hAnsi="Times New Roman"/>
      <w:sz w:val="28"/>
    </w:rPr>
  </w:style>
  <w:style w:type="paragraph" w:styleId="Style22" w:customStyle="1">
    <w:name w:val="Третий уровень"/>
    <w:basedOn w:val="Heading3"/>
    <w:link w:val="Style14"/>
    <w:qFormat/>
    <w:rsid w:val="00897fdf"/>
    <w:pPr>
      <w:spacing w:lineRule="auto" w:line="360" w:before="0" w:after="120"/>
    </w:pPr>
    <w:rPr/>
  </w:style>
  <w:style w:type="paragraph" w:styleId="Style23" w:customStyle="1">
    <w:name w:val="Четвертый уровень"/>
    <w:basedOn w:val="ListParagraph"/>
    <w:link w:val="Style15"/>
    <w:qFormat/>
    <w:rsid w:val="009715e3"/>
    <w:pPr>
      <w:numPr>
        <w:ilvl w:val="0"/>
        <w:numId w:val="2"/>
      </w:numPr>
      <w:spacing w:lineRule="auto" w:line="360"/>
      <w:ind w:firstLine="1134" w:left="0"/>
    </w:pPr>
    <w:rPr>
      <w:rFonts w:ascii="Times New Roman" w:hAnsi="Times New Roman"/>
      <w:sz w:val="28"/>
    </w:rPr>
  </w:style>
  <w:style w:type="paragraph" w:styleId="Style24" w:customStyle="1">
    <w:name w:val="Литература"/>
    <w:basedOn w:val="ListParagraph"/>
    <w:link w:val="Style16"/>
    <w:qFormat/>
    <w:rsid w:val="00e1346d"/>
    <w:pPr>
      <w:spacing w:lineRule="auto" w:line="360" w:before="0" w:after="240"/>
      <w:ind w:hanging="0" w:left="0"/>
      <w:contextualSpacing w:val="false"/>
    </w:pPr>
    <w:rPr>
      <w:rFonts w:ascii="Times New Roman" w:hAnsi="Times New Roman"/>
    </w:rPr>
  </w:style>
  <w:style w:type="paragraph" w:styleId="FootnoteText">
    <w:name w:val="footnote text"/>
    <w:basedOn w:val="Normal"/>
    <w:link w:val="Style17"/>
    <w:semiHidden/>
    <w:unhideWhenUsed/>
    <w:rsid w:val="00a12dd4"/>
    <w:pPr>
      <w:spacing w:lineRule="auto" w:line="240"/>
      <w:ind w:hanging="0"/>
      <w:jc w:val="left"/>
    </w:pPr>
    <w:rPr>
      <w:rFonts w:eastAsia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a7582f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9"/>
    <w:uiPriority w:val="99"/>
    <w:unhideWhenUsed/>
    <w:rsid w:val="00523c0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20"/>
    <w:uiPriority w:val="99"/>
    <w:unhideWhenUsed/>
    <w:rsid w:val="00523c0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4"/>
    <w:uiPriority w:val="59"/>
    <w:rsid w:val="006c60f8"/>
    <w:pPr>
      <w:spacing w:line="240" w:lineRule="auto"/>
      <w:jc w:val="left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fedesoriano/heart-failure-prediction" TargetMode="External"/><Relationship Id="rId3" Type="http://schemas.openxmlformats.org/officeDocument/2006/relationships/hyperlink" Target="https://archive.ics.uci.edu/ml/machine-learning-databases/heart-disease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485328-D97D-4669-BCC7-5A8A06BC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Application>LibreOffice/25.2.6.2$Linux_X86_64 LibreOffice_project/40d1a0e1d5bdf1afaeae24d9ece32bbb00fa66a4</Application>
  <AppVersion>15.0000</AppVersion>
  <Pages>17</Pages>
  <Words>2299</Words>
  <Characters>16247</Characters>
  <CharactersWithSpaces>18343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2022-10-18T12:46:00Z</dcterms:created>
  <dc:creator>Платанова Анна Сергеевна</dc:creator>
  <dc:description/>
  <dc:language>en-US</dc:language>
  <cp:lastModifiedBy/>
  <cp:lastPrinted>2022-10-17T14:43:00Z</cp:lastPrinted>
  <dcterms:modified xsi:type="dcterms:W3CDTF">2025-10-02T22:02:23Z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</Properties>
</file>